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Приложение</w:t>
      </w:r>
      <w:r w:rsidR="00320F45">
        <w:rPr>
          <w:rFonts w:eastAsia="Times New Roman"/>
          <w:sz w:val="26"/>
          <w:szCs w:val="26"/>
          <w:lang w:eastAsia="ru-RU"/>
        </w:rPr>
        <w:t xml:space="preserve"> </w:t>
      </w:r>
      <w:r w:rsidR="00CF22F1">
        <w:rPr>
          <w:rFonts w:eastAsia="Times New Roman"/>
          <w:sz w:val="26"/>
          <w:szCs w:val="26"/>
          <w:lang w:eastAsia="ru-RU"/>
        </w:rPr>
        <w:t>3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к решению Совета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 </w:t>
      </w:r>
      <w:r w:rsidR="00AC4357">
        <w:rPr>
          <w:rFonts w:eastAsia="Times New Roman"/>
          <w:sz w:val="26"/>
          <w:szCs w:val="26"/>
          <w:lang w:eastAsia="ru-RU"/>
        </w:rPr>
        <w:t>10 сентября</w:t>
      </w:r>
      <w:r>
        <w:rPr>
          <w:rFonts w:eastAsia="Times New Roman"/>
          <w:sz w:val="26"/>
          <w:szCs w:val="26"/>
          <w:lang w:eastAsia="ru-RU"/>
        </w:rPr>
        <w:t xml:space="preserve"> 2021 года № 4-</w:t>
      </w:r>
      <w:r w:rsidR="00AC4357">
        <w:rPr>
          <w:rFonts w:eastAsia="Times New Roman"/>
          <w:sz w:val="26"/>
          <w:szCs w:val="26"/>
          <w:lang w:eastAsia="ru-RU"/>
        </w:rPr>
        <w:t>30</w:t>
      </w:r>
      <w:r>
        <w:rPr>
          <w:rFonts w:eastAsia="Times New Roman"/>
          <w:sz w:val="26"/>
          <w:szCs w:val="26"/>
          <w:lang w:eastAsia="ru-RU"/>
        </w:rPr>
        <w:t>/</w:t>
      </w:r>
      <w:r w:rsidR="00AC4357">
        <w:rPr>
          <w:rFonts w:eastAsia="Times New Roman"/>
          <w:sz w:val="26"/>
          <w:szCs w:val="26"/>
          <w:lang w:eastAsia="ru-RU"/>
        </w:rPr>
        <w:t>15</w:t>
      </w:r>
      <w:r w:rsidR="00320F45">
        <w:rPr>
          <w:rFonts w:eastAsia="Times New Roman"/>
          <w:sz w:val="26"/>
          <w:szCs w:val="26"/>
          <w:lang w:eastAsia="ru-RU"/>
        </w:rPr>
        <w:t>6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Par32"/>
      <w:bookmarkEnd w:id="0"/>
    </w:p>
    <w:p w:rsidR="00AC4357" w:rsidRPr="00F834ED" w:rsidRDefault="00AC4357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CF22F1" w:rsidRPr="00CF22F1" w:rsidRDefault="00CF22F1" w:rsidP="0013008C">
      <w:pPr>
        <w:spacing w:after="0" w:line="240" w:lineRule="auto"/>
        <w:jc w:val="center"/>
        <w:rPr>
          <w:rFonts w:eastAsia="Times New Roman"/>
          <w:b/>
          <w:bCs/>
          <w:color w:val="000000"/>
          <w:sz w:val="26"/>
          <w:szCs w:val="26"/>
          <w:lang w:eastAsia="ru-RU"/>
        </w:rPr>
      </w:pPr>
      <w:r w:rsidRPr="00CF22F1">
        <w:rPr>
          <w:rFonts w:eastAsia="Times New Roman"/>
          <w:b/>
          <w:bCs/>
          <w:color w:val="000000"/>
          <w:sz w:val="26"/>
          <w:szCs w:val="26"/>
          <w:lang w:eastAsia="ru-RU"/>
        </w:rPr>
        <w:t>ПОРЯДОК</w:t>
      </w:r>
      <w:bookmarkStart w:id="1" w:name="_GoBack"/>
      <w:bookmarkEnd w:id="1"/>
    </w:p>
    <w:p w:rsidR="00CF22F1" w:rsidRPr="00CF22F1" w:rsidRDefault="00CF22F1" w:rsidP="0013008C">
      <w:pPr>
        <w:tabs>
          <w:tab w:val="left" w:pos="9638"/>
        </w:tabs>
        <w:suppressAutoHyphens/>
        <w:spacing w:after="0" w:line="240" w:lineRule="auto"/>
        <w:jc w:val="center"/>
        <w:rPr>
          <w:rFonts w:eastAsia="Times New Roman"/>
          <w:b/>
          <w:sz w:val="26"/>
          <w:szCs w:val="26"/>
          <w:lang w:eastAsia="ar-SA"/>
        </w:rPr>
      </w:pPr>
      <w:r w:rsidRPr="00CF22F1">
        <w:rPr>
          <w:rFonts w:eastAsia="Times New Roman"/>
          <w:b/>
          <w:sz w:val="26"/>
          <w:szCs w:val="26"/>
          <w:lang w:eastAsia="ar-SA"/>
        </w:rPr>
        <w:t>проведения конкурсного отбора инициативных проектов</w:t>
      </w:r>
    </w:p>
    <w:p w:rsidR="00CF22F1" w:rsidRPr="00CF22F1" w:rsidRDefault="00CF22F1" w:rsidP="00CF22F1">
      <w:pPr>
        <w:tabs>
          <w:tab w:val="left" w:pos="9638"/>
        </w:tabs>
        <w:suppressAutoHyphens/>
        <w:spacing w:after="0" w:line="240" w:lineRule="auto"/>
        <w:ind w:firstLine="567"/>
        <w:jc w:val="both"/>
        <w:rPr>
          <w:rFonts w:eastAsia="Times New Roman"/>
          <w:b/>
          <w:sz w:val="26"/>
          <w:szCs w:val="26"/>
          <w:lang w:eastAsia="ar-SA"/>
        </w:rPr>
      </w:pPr>
    </w:p>
    <w:p w:rsidR="00CF22F1" w:rsidRPr="00CF22F1" w:rsidRDefault="00CF22F1" w:rsidP="00CF22F1">
      <w:pPr>
        <w:tabs>
          <w:tab w:val="left" w:pos="9638"/>
        </w:tabs>
        <w:suppressAutoHyphens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>1. Настоящий порядок устанавливает процедуру проведения конкурсного отбора инициативных проектов.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6"/>
          <w:szCs w:val="26"/>
        </w:rPr>
      </w:pPr>
      <w:r w:rsidRPr="00CF22F1">
        <w:rPr>
          <w:rFonts w:eastAsia="Calibri"/>
          <w:sz w:val="26"/>
          <w:szCs w:val="26"/>
        </w:rPr>
        <w:t>2. В случае</w:t>
      </w:r>
      <w:proofErr w:type="gramStart"/>
      <w:r w:rsidRPr="00CF22F1">
        <w:rPr>
          <w:rFonts w:eastAsia="Calibri"/>
          <w:sz w:val="26"/>
          <w:szCs w:val="26"/>
        </w:rPr>
        <w:t>,</w:t>
      </w:r>
      <w:proofErr w:type="gramEnd"/>
      <w:r w:rsidRPr="00CF22F1">
        <w:rPr>
          <w:rFonts w:eastAsia="Calibri"/>
          <w:sz w:val="26"/>
          <w:szCs w:val="26"/>
        </w:rPr>
        <w:t xml:space="preserve"> если в администрацию </w:t>
      </w:r>
      <w:r w:rsidRPr="00CF22F1">
        <w:rPr>
          <w:rFonts w:eastAsia="Calibri"/>
          <w:sz w:val="26"/>
          <w:szCs w:val="26"/>
          <w:lang w:eastAsia="ar-SA"/>
        </w:rPr>
        <w:t xml:space="preserve">муниципального района «Печора» </w:t>
      </w:r>
      <w:r w:rsidRPr="00CF22F1">
        <w:rPr>
          <w:rFonts w:eastAsia="Calibri"/>
          <w:sz w:val="26"/>
          <w:szCs w:val="26"/>
        </w:rPr>
        <w:t xml:space="preserve">внесено несколько инициативных проектов, в том числе с описанием аналогичных по содержанию приоритетных проблем </w:t>
      </w:r>
      <w:r w:rsidRPr="00CF22F1">
        <w:rPr>
          <w:rFonts w:eastAsia="Calibri"/>
          <w:sz w:val="26"/>
          <w:szCs w:val="26"/>
          <w:lang w:eastAsia="ar-SA"/>
        </w:rPr>
        <w:t>(далее – Администрация)</w:t>
      </w:r>
      <w:r w:rsidRPr="00CF22F1">
        <w:rPr>
          <w:rFonts w:eastAsia="Calibri"/>
          <w:sz w:val="26"/>
          <w:szCs w:val="26"/>
        </w:rPr>
        <w:t>, Администрация организует проведение конкурсного отбора и информирует об этом инициаторов проекта.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6"/>
          <w:szCs w:val="26"/>
        </w:rPr>
      </w:pPr>
      <w:r w:rsidRPr="00CF22F1">
        <w:rPr>
          <w:rFonts w:eastAsia="Calibri"/>
          <w:sz w:val="26"/>
          <w:szCs w:val="26"/>
        </w:rPr>
        <w:t xml:space="preserve">3. Проведение конкурсного отбора инициативных проектов возлагается на комиссию. Состав комиссии формируется Администрацией. При этом половина от общего числа членов комиссии должна быть назначена на основе предложений Совета ГП «Печора». </w:t>
      </w:r>
    </w:p>
    <w:p w:rsidR="00CF22F1" w:rsidRPr="00CF22F1" w:rsidRDefault="00CF22F1" w:rsidP="00CF22F1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 xml:space="preserve">4. Комиссия в своей деятельности руководствуется </w:t>
      </w:r>
      <w:r w:rsidRPr="00CF22F1">
        <w:rPr>
          <w:rFonts w:eastAsia="Calibri"/>
          <w:sz w:val="26"/>
          <w:szCs w:val="26"/>
        </w:rPr>
        <w:t xml:space="preserve">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и иными нормативными правовыми актами МО ГП «Печора», а также </w:t>
      </w:r>
      <w:r w:rsidRPr="00CF22F1">
        <w:rPr>
          <w:rFonts w:eastAsia="Times New Roman"/>
          <w:sz w:val="26"/>
          <w:szCs w:val="26"/>
          <w:lang w:eastAsia="ar-SA"/>
        </w:rPr>
        <w:t>настоящим Порядком.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5. Комиссия осуществляет следующие функции: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1) 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к настоящему Порядку;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2) формирует итоговую оценку инициативных проектов;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 xml:space="preserve">3) принимает решение о признании инициативного проекта прошедшим или не прошедшим конкурсный отбор. 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Times New Roman"/>
          <w:color w:val="000000"/>
          <w:sz w:val="26"/>
          <w:szCs w:val="26"/>
          <w:lang w:eastAsia="ar-SA"/>
        </w:rPr>
        <w:t>6.</w:t>
      </w:r>
      <w:r w:rsidRPr="00CF22F1">
        <w:rPr>
          <w:rFonts w:eastAsia="Calibri"/>
          <w:color w:val="000000"/>
          <w:sz w:val="26"/>
          <w:szCs w:val="26"/>
        </w:rPr>
        <w:t xml:space="preserve"> Комиссия состоит из председателя Комиссии, заместителя председателя Комиссии, секретаря Комиссии и членов Комиссии.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Times New Roman"/>
          <w:color w:val="000000"/>
          <w:sz w:val="26"/>
          <w:szCs w:val="26"/>
          <w:lang w:eastAsia="ar-SA"/>
        </w:rPr>
        <w:t>7. П</w:t>
      </w:r>
      <w:r w:rsidRPr="00CF22F1">
        <w:rPr>
          <w:rFonts w:eastAsia="Calibri"/>
          <w:color w:val="000000"/>
          <w:sz w:val="26"/>
          <w:szCs w:val="26"/>
        </w:rPr>
        <w:t xml:space="preserve">редседатель Комиссии руководит деятельностью Комиссии, ведёт заседания Комиссии, подписывает протоколы заседаний. 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8. В случае отсутствия председателя Комиссии его полномочия исполняет  заместитель председателя Комиссии.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Times New Roman"/>
          <w:color w:val="000000"/>
          <w:sz w:val="26"/>
          <w:szCs w:val="26"/>
          <w:lang w:eastAsia="ar-SA"/>
        </w:rPr>
        <w:t>9. С</w:t>
      </w:r>
      <w:r w:rsidRPr="00CF22F1">
        <w:rPr>
          <w:rFonts w:eastAsia="Calibri"/>
          <w:color w:val="000000"/>
          <w:sz w:val="26"/>
          <w:szCs w:val="26"/>
        </w:rPr>
        <w:t>екретарь Комиссии формирует проект повестки очередного заседания Комиссии, обеспечивает подготовку материалов к заседанию Комиссии, оповещает членов Комиссии об очередных её заседаниях, ведёт и подписывает протоколы заседаний Комиссии.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>10. Заседания Комиссии проводятся по мере необходимости. Заседание Комиссии может быть проведено заочно путем письменного опроса членов Комиссии.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>11. Заседание Комиссии считается правомочным, если на нем присутствует более половины членов Комиссии.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 xml:space="preserve"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</w:t>
      </w:r>
      <w:r w:rsidRPr="00CF22F1">
        <w:rPr>
          <w:rFonts w:eastAsia="Times New Roman"/>
          <w:sz w:val="26"/>
          <w:szCs w:val="26"/>
          <w:lang w:eastAsia="ar-SA"/>
        </w:rPr>
        <w:lastRenderedPageBreak/>
        <w:t>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both"/>
        <w:rPr>
          <w:rFonts w:eastAsia="Times New Roman"/>
          <w:color w:val="000000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>12.</w:t>
      </w:r>
      <w:r w:rsidRPr="00CF22F1">
        <w:rPr>
          <w:rFonts w:eastAsia="Times New Roman"/>
          <w:color w:val="000000"/>
          <w:sz w:val="26"/>
          <w:szCs w:val="26"/>
          <w:lang w:eastAsia="ar-SA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13. К</w:t>
      </w:r>
      <w:r w:rsidRPr="00CF22F1">
        <w:rPr>
          <w:rFonts w:eastAsia="Calibri"/>
          <w:iCs/>
          <w:color w:val="000000"/>
          <w:sz w:val="26"/>
          <w:szCs w:val="26"/>
        </w:rPr>
        <w:t>омиссия по результатам рассмотрения инициативного проекта принимает одно из следующих решений: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 xml:space="preserve">1) признать инициативный проект прошедшим конкурсный; 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2) признать инициативный проект не прошедшим конкурсный отбор.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Calibri"/>
          <w:color w:val="000000"/>
          <w:sz w:val="26"/>
          <w:szCs w:val="26"/>
        </w:rPr>
        <w:t>14. Решение Комиссией принимается по каждому представленному инициативному проекту и</w:t>
      </w:r>
      <w:r w:rsidRPr="00CF22F1">
        <w:rPr>
          <w:rFonts w:eastAsia="Times New Roman"/>
          <w:sz w:val="26"/>
          <w:szCs w:val="26"/>
          <w:lang w:eastAsia="ar-SA"/>
        </w:rPr>
        <w:t xml:space="preserve"> оформляется протоколом заседания Комиссии.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>15. Организационно-техническое обеспечение деятельности Комиссии осуществляет Администрация.</w:t>
      </w: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CF22F1" w:rsidRPr="00CF22F1" w:rsidRDefault="00CF22F1" w:rsidP="00CF22F1">
      <w:pPr>
        <w:suppressAutoHyphens/>
        <w:spacing w:after="0" w:line="240" w:lineRule="auto"/>
        <w:ind w:firstLine="567"/>
        <w:jc w:val="right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lastRenderedPageBreak/>
        <w:t>Приложение</w:t>
      </w:r>
    </w:p>
    <w:p w:rsidR="00CF22F1" w:rsidRDefault="00CF22F1" w:rsidP="00CF22F1">
      <w:pPr>
        <w:suppressAutoHyphens/>
        <w:spacing w:after="0" w:line="240" w:lineRule="auto"/>
        <w:ind w:firstLine="567"/>
        <w:jc w:val="right"/>
        <w:rPr>
          <w:rFonts w:eastAsia="Times New Roman"/>
          <w:sz w:val="26"/>
          <w:szCs w:val="26"/>
          <w:lang w:eastAsia="ar-SA"/>
        </w:rPr>
      </w:pPr>
      <w:r w:rsidRPr="00CF22F1">
        <w:rPr>
          <w:rFonts w:eastAsia="Times New Roman"/>
          <w:sz w:val="26"/>
          <w:szCs w:val="26"/>
          <w:lang w:eastAsia="ar-SA"/>
        </w:rPr>
        <w:t>к Порядку проведения конкурсного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right"/>
        <w:rPr>
          <w:rFonts w:eastAsia="Calibri"/>
          <w:color w:val="000000"/>
          <w:sz w:val="26"/>
          <w:szCs w:val="26"/>
        </w:rPr>
      </w:pPr>
      <w:r w:rsidRPr="00CF22F1">
        <w:rPr>
          <w:rFonts w:eastAsia="Times New Roman"/>
          <w:sz w:val="26"/>
          <w:szCs w:val="26"/>
          <w:lang w:eastAsia="ar-SA"/>
        </w:rPr>
        <w:t xml:space="preserve"> отбора инициативных проектов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eastAsia="Calibri"/>
          <w:color w:val="000000"/>
          <w:sz w:val="26"/>
          <w:szCs w:val="26"/>
        </w:rPr>
      </w:pPr>
    </w:p>
    <w:p w:rsidR="00CF22F1" w:rsidRPr="00CF22F1" w:rsidRDefault="00CF22F1" w:rsidP="00CF22F1">
      <w:pPr>
        <w:suppressAutoHyphens/>
        <w:spacing w:after="0" w:line="240" w:lineRule="auto"/>
        <w:ind w:firstLine="567"/>
        <w:jc w:val="center"/>
        <w:rPr>
          <w:rFonts w:eastAsia="Calibri"/>
          <w:b/>
          <w:bCs/>
          <w:iCs/>
          <w:color w:val="000000"/>
          <w:sz w:val="26"/>
          <w:szCs w:val="26"/>
        </w:rPr>
      </w:pPr>
      <w:r w:rsidRPr="00CF22F1">
        <w:rPr>
          <w:rFonts w:eastAsia="Calibri"/>
          <w:b/>
          <w:bCs/>
          <w:iCs/>
          <w:color w:val="000000"/>
          <w:sz w:val="26"/>
          <w:szCs w:val="26"/>
        </w:rPr>
        <w:t>Критерии оценки инициативного проекта</w:t>
      </w:r>
    </w:p>
    <w:p w:rsidR="00CF22F1" w:rsidRPr="00CF22F1" w:rsidRDefault="00CF22F1" w:rsidP="00CF22F1">
      <w:pPr>
        <w:suppressAutoHyphens/>
        <w:spacing w:after="0" w:line="240" w:lineRule="auto"/>
        <w:ind w:firstLine="567"/>
        <w:jc w:val="center"/>
        <w:rPr>
          <w:rFonts w:eastAsia="Calibri"/>
          <w:bCs/>
          <w:iCs/>
          <w:color w:val="000000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06"/>
        <w:gridCol w:w="2866"/>
        <w:gridCol w:w="3265"/>
        <w:gridCol w:w="2034"/>
      </w:tblGrid>
      <w:tr w:rsidR="00CF22F1" w:rsidRPr="00CF22F1" w:rsidTr="00CF22F1">
        <w:trPr>
          <w:trHeight w:val="398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№ критерия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hanging="108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Наименование критерия/группы критериев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Баллы по критерию</w:t>
            </w:r>
          </w:p>
        </w:tc>
      </w:tr>
      <w:tr w:rsidR="00CF22F1" w:rsidRPr="00CF22F1" w:rsidTr="00CF22F1">
        <w:trPr>
          <w:trHeight w:val="13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1. 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Times New Roman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Актуальность (острота) проблемы: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1.1. 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очень </w:t>
            </w:r>
            <w:proofErr w:type="gram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высокая</w:t>
            </w:r>
            <w:proofErr w:type="gramEnd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благополучателей</w:t>
            </w:r>
            <w:proofErr w:type="spellEnd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высокая - отсутствие решения будет негативно сказываться на качестве жизни </w:t>
            </w:r>
            <w:proofErr w:type="gram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прямых</w:t>
            </w:r>
            <w:proofErr w:type="gramEnd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благополучателей</w:t>
            </w:r>
            <w:proofErr w:type="spellEnd"/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средняя - проблема достаточно широко осознается </w:t>
            </w:r>
            <w:proofErr w:type="gram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прямыми</w:t>
            </w:r>
            <w:proofErr w:type="gramEnd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благополучателями</w:t>
            </w:r>
            <w:proofErr w:type="spellEnd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>, ее решение может привести к улучшению качества жизни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Обоснование выставленного балла: 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10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2.2.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поставленные задачи выполнимы, конкретны, </w:t>
            </w:r>
            <w:proofErr w:type="gramStart"/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являются традиционными </w:t>
            </w:r>
            <w:r w:rsidRPr="00CF22F1">
              <w:rPr>
                <w:rFonts w:eastAsia="Calibri"/>
                <w:color w:val="000000"/>
                <w:sz w:val="26"/>
                <w:szCs w:val="26"/>
              </w:rPr>
              <w:t>нет</w:t>
            </w:r>
            <w:proofErr w:type="gramEnd"/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поставленные задачи конкретны, но не реалистичны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0</w:t>
            </w:r>
          </w:p>
        </w:tc>
      </w:tr>
      <w:tr w:rsidR="00CF22F1" w:rsidRPr="00CF22F1" w:rsidTr="00CF22F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Обоснование выставленного балла: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3.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Times New Roman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Times New Roman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____________________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3.1.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 xml:space="preserve">мероприятия проекта соответствуют целям и задачам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355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3.2.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63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3.3.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0</w:t>
            </w:r>
          </w:p>
        </w:tc>
      </w:tr>
      <w:tr w:rsidR="00CF22F1" w:rsidRPr="00CF22F1" w:rsidTr="00CF22F1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Обоснование выставленного балла: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4. </w:t>
            </w:r>
          </w:p>
        </w:tc>
        <w:tc>
          <w:tcPr>
            <w:tcW w:w="4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Устойчивость инициативного проекта (предполагаемый «срок жизни» результатов):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5 лет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10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4.2.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3 лет до 5 лет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 года до 3 лет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4.4.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Инициативный проект разовый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4.5.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информация по устойчивости инициативного проекта отсутствует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0</w:t>
            </w:r>
          </w:p>
        </w:tc>
      </w:tr>
      <w:tr w:rsidR="00CF22F1" w:rsidRPr="00CF22F1" w:rsidTr="00CF22F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lastRenderedPageBreak/>
              <w:t>Обоснование выставленного балла:</w:t>
            </w:r>
          </w:p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5.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Наличие мероприятий по содержанию и обслуживанию создаваемых объектов:</w:t>
            </w: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CF22F1" w:rsidRPr="00CF22F1" w:rsidTr="00CF22F1">
        <w:trPr>
          <w:trHeight w:val="131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5.1.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инициативный прое</w:t>
            </w:r>
            <w:proofErr w:type="gramStart"/>
            <w:r w:rsidRPr="00CF22F1">
              <w:rPr>
                <w:rFonts w:eastAsia="Times New Roman"/>
                <w:sz w:val="26"/>
                <w:szCs w:val="26"/>
              </w:rPr>
              <w:t>кт вкл</w:t>
            </w:r>
            <w:proofErr w:type="gramEnd"/>
            <w:r w:rsidRPr="00CF22F1">
              <w:rPr>
                <w:rFonts w:eastAsia="Times New Roman"/>
                <w:sz w:val="26"/>
                <w:szCs w:val="26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5.2.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0</w:t>
            </w:r>
          </w:p>
        </w:tc>
      </w:tr>
      <w:tr w:rsidR="00CF22F1" w:rsidRPr="00CF22F1" w:rsidTr="00CF22F1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Times New Roman"/>
                <w:sz w:val="26"/>
                <w:szCs w:val="26"/>
                <w:lang w:eastAsia="ar-SA"/>
              </w:rPr>
            </w:pPr>
            <w:r w:rsidRPr="00CF22F1">
              <w:rPr>
                <w:rFonts w:eastAsia="Times New Roman"/>
                <w:sz w:val="26"/>
                <w:szCs w:val="26"/>
                <w:lang w:eastAsia="ar-SA"/>
              </w:rPr>
              <w:t>Обоснование выставленного балла: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6.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Охват </w:t>
            </w:r>
            <w:proofErr w:type="spellStart"/>
            <w:r w:rsidRPr="00CF22F1">
              <w:rPr>
                <w:rFonts w:eastAsia="Calibri"/>
                <w:sz w:val="26"/>
                <w:szCs w:val="26"/>
              </w:rPr>
              <w:t>благополучателей</w:t>
            </w:r>
            <w:proofErr w:type="spellEnd"/>
            <w:r w:rsidRPr="00CF22F1">
              <w:rPr>
                <w:rFonts w:eastAsia="Calibri"/>
                <w:sz w:val="26"/>
                <w:szCs w:val="26"/>
              </w:rPr>
              <w:t xml:space="preserve"> (</w:t>
            </w:r>
            <w:proofErr w:type="gramStart"/>
            <w:r w:rsidRPr="00CF22F1">
              <w:rPr>
                <w:rFonts w:eastAsia="Calibri"/>
                <w:sz w:val="26"/>
                <w:szCs w:val="26"/>
              </w:rPr>
              <w:t>прямых</w:t>
            </w:r>
            <w:proofErr w:type="gramEnd"/>
            <w:r w:rsidRPr="00CF22F1">
              <w:rPr>
                <w:rFonts w:eastAsia="Calibri"/>
                <w:sz w:val="26"/>
                <w:szCs w:val="26"/>
              </w:rPr>
              <w:t xml:space="preserve"> и косвенных), которые получат пользу от реализации народного проекта: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6.1.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Более 500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6.2.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От 300 до 500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6.3.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От 100 до 200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6.4. 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От 50 до 100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6.5.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До 50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Обоснование выставленного балла:</w:t>
            </w:r>
          </w:p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CF22F1" w:rsidRPr="00CF22F1" w:rsidTr="00CF22F1">
        <w:trPr>
          <w:trHeight w:val="37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7.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widowControl w:val="0"/>
              <w:autoSpaceDE w:val="0"/>
              <w:autoSpaceDN w:val="0"/>
              <w:spacing w:after="0" w:line="240" w:lineRule="auto"/>
              <w:ind w:firstLine="12"/>
              <w:jc w:val="both"/>
              <w:rPr>
                <w:rFonts w:eastAsia="Times New Roman"/>
                <w:sz w:val="26"/>
                <w:szCs w:val="26"/>
              </w:rPr>
            </w:pPr>
            <w:r w:rsidRPr="00CF22F1">
              <w:rPr>
                <w:rFonts w:eastAsia="Times New Roman"/>
                <w:sz w:val="26"/>
                <w:szCs w:val="26"/>
              </w:rPr>
              <w:t>Количество  рабочих мест, планируемых к созданию после реализации инициативного проекта: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CF22F1" w:rsidRPr="00CF22F1" w:rsidTr="00CF22F1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7.1.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Более 3 рабочих мест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206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 xml:space="preserve"> 7.2. 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 до 3 рабочих мест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46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8.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Степень положительного восприятия и поддержки гражданами социальной значимости инициативного проекта в решении проблемы (согласно протоколу</w:t>
            </w:r>
            <w:r w:rsidRPr="00CF22F1">
              <w:rPr>
                <w:rFonts w:eastAsia="Calibri"/>
                <w:color w:val="000000"/>
                <w:sz w:val="26"/>
                <w:szCs w:val="26"/>
              </w:rPr>
              <w:t xml:space="preserve"> собрания (схода)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CF22F1">
              <w:rPr>
                <w:rFonts w:eastAsia="Calibri"/>
                <w:sz w:val="26"/>
                <w:szCs w:val="26"/>
              </w:rPr>
              <w:t xml:space="preserve"> подписей, подтверждающих общественную значимость инициативного проекта):</w:t>
            </w:r>
          </w:p>
        </w:tc>
      </w:tr>
      <w:tr w:rsidR="00CF22F1" w:rsidRPr="00CF22F1" w:rsidTr="00CF22F1">
        <w:trPr>
          <w:trHeight w:val="42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8.1 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более 90%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10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8.2. 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от 50% до 89,9%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8.3.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от 20% до 49,9%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8.4.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до 19,9% от общего числа </w:t>
            </w:r>
            <w:proofErr w:type="spellStart"/>
            <w:r w:rsidRPr="00CF22F1">
              <w:rPr>
                <w:rFonts w:eastAsia="Calibri"/>
                <w:sz w:val="26"/>
                <w:szCs w:val="26"/>
              </w:rPr>
              <w:t>благополучателей</w:t>
            </w:r>
            <w:proofErr w:type="spellEnd"/>
            <w:r w:rsidRPr="00CF22F1">
              <w:rPr>
                <w:rFonts w:eastAsia="Calibri"/>
                <w:sz w:val="26"/>
                <w:szCs w:val="26"/>
              </w:rPr>
              <w:t xml:space="preserve"> (</w:t>
            </w:r>
            <w:proofErr w:type="gramStart"/>
            <w:r w:rsidRPr="00CF22F1">
              <w:rPr>
                <w:rFonts w:eastAsia="Calibri"/>
                <w:sz w:val="26"/>
                <w:szCs w:val="26"/>
              </w:rPr>
              <w:t>прямых</w:t>
            </w:r>
            <w:proofErr w:type="gramEnd"/>
            <w:r w:rsidRPr="00CF22F1">
              <w:rPr>
                <w:rFonts w:eastAsia="Calibri"/>
                <w:sz w:val="26"/>
                <w:szCs w:val="26"/>
              </w:rPr>
              <w:t xml:space="preserve"> и косвенных)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Обоснование выставленного балла: </w:t>
            </w: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Данный критерий определяется по формуле:</w:t>
            </w: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outlineLvl w:val="0"/>
              <w:rPr>
                <w:rFonts w:eastAsia="Calibri"/>
                <w:sz w:val="26"/>
                <w:szCs w:val="26"/>
              </w:rPr>
            </w:pP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N / </w:t>
            </w:r>
            <w:proofErr w:type="spellStart"/>
            <w:proofErr w:type="gramStart"/>
            <w:r w:rsidRPr="00CF22F1">
              <w:rPr>
                <w:rFonts w:eastAsia="Calibri"/>
                <w:sz w:val="26"/>
                <w:szCs w:val="26"/>
              </w:rPr>
              <w:t>N</w:t>
            </w:r>
            <w:proofErr w:type="gramEnd"/>
            <w:r w:rsidRPr="00CF22F1">
              <w:rPr>
                <w:rFonts w:eastAsia="Calibri"/>
                <w:sz w:val="26"/>
                <w:szCs w:val="26"/>
              </w:rPr>
              <w:t>ч</w:t>
            </w:r>
            <w:proofErr w:type="spellEnd"/>
            <w:r w:rsidRPr="00CF22F1">
              <w:rPr>
                <w:rFonts w:eastAsia="Calibri"/>
                <w:sz w:val="26"/>
                <w:szCs w:val="26"/>
              </w:rPr>
              <w:t xml:space="preserve"> x 100%,</w:t>
            </w: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где:</w:t>
            </w: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N - количество собранных подписей в поддержку проекта,</w:t>
            </w:r>
          </w:p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r w:rsidRPr="00CF22F1">
              <w:rPr>
                <w:rFonts w:eastAsia="Calibri"/>
                <w:sz w:val="26"/>
                <w:szCs w:val="26"/>
              </w:rPr>
              <w:t>Nч</w:t>
            </w:r>
            <w:proofErr w:type="spellEnd"/>
            <w:r w:rsidRPr="00CF22F1">
              <w:rPr>
                <w:rFonts w:eastAsia="Calibri"/>
                <w:sz w:val="26"/>
                <w:szCs w:val="26"/>
              </w:rPr>
              <w:t xml:space="preserve"> - количество </w:t>
            </w:r>
            <w:proofErr w:type="spellStart"/>
            <w:r w:rsidRPr="00CF22F1">
              <w:rPr>
                <w:rFonts w:eastAsia="Calibri"/>
                <w:sz w:val="26"/>
                <w:szCs w:val="26"/>
              </w:rPr>
              <w:t>благополучателей</w:t>
            </w:r>
            <w:proofErr w:type="spellEnd"/>
            <w:r w:rsidRPr="00CF22F1">
              <w:rPr>
                <w:rFonts w:eastAsia="Calibri"/>
                <w:sz w:val="26"/>
                <w:szCs w:val="26"/>
              </w:rPr>
              <w:t xml:space="preserve"> (</w:t>
            </w:r>
            <w:proofErr w:type="gramStart"/>
            <w:r w:rsidRPr="00CF22F1">
              <w:rPr>
                <w:rFonts w:eastAsia="Calibri"/>
                <w:sz w:val="26"/>
                <w:szCs w:val="26"/>
              </w:rPr>
              <w:t>прямых</w:t>
            </w:r>
            <w:proofErr w:type="gramEnd"/>
            <w:r w:rsidRPr="00CF22F1">
              <w:rPr>
                <w:rFonts w:eastAsia="Calibri"/>
                <w:sz w:val="26"/>
                <w:szCs w:val="26"/>
              </w:rPr>
              <w:t xml:space="preserve"> и косвенных)</w:t>
            </w:r>
          </w:p>
        </w:tc>
      </w:tr>
      <w:tr w:rsidR="00CF22F1" w:rsidRPr="00CF22F1" w:rsidTr="00CF22F1">
        <w:trPr>
          <w:trHeight w:val="46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9.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CF22F1" w:rsidRPr="00CF22F1" w:rsidTr="00CF22F1">
        <w:trPr>
          <w:trHeight w:val="42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9.1 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смета планируемых расходов на реализацию инициативного проекта составлена детально, в </w:t>
            </w:r>
            <w:r w:rsidRPr="00CF22F1">
              <w:rPr>
                <w:rFonts w:eastAsia="Calibri"/>
                <w:sz w:val="26"/>
                <w:szCs w:val="26"/>
              </w:rPr>
              <w:lastRenderedPageBreak/>
              <w:t xml:space="preserve">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lastRenderedPageBreak/>
              <w:t>10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lastRenderedPageBreak/>
              <w:t>9.2. 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9.3.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0</w:t>
            </w:r>
          </w:p>
        </w:tc>
      </w:tr>
      <w:tr w:rsidR="00CF22F1" w:rsidRPr="00CF22F1" w:rsidTr="00CF22F1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 xml:space="preserve">Обоснование выставленного балла: </w:t>
            </w:r>
          </w:p>
        </w:tc>
      </w:tr>
      <w:tr w:rsidR="00CF22F1" w:rsidRPr="00CF22F1" w:rsidTr="00CF22F1">
        <w:trPr>
          <w:trHeight w:val="37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Участие общественности в подготовке и реализации инициативного проекта (оценивается суммарно):</w:t>
            </w:r>
          </w:p>
        </w:tc>
      </w:tr>
      <w:tr w:rsidR="00CF22F1" w:rsidRPr="00CF22F1" w:rsidTr="00CF22F1">
        <w:trPr>
          <w:trHeight w:val="37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10.1.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Уровень </w:t>
            </w:r>
            <w:proofErr w:type="spellStart"/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инициативного проекта гражданами: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1 % до 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</w:tr>
      <w:tr w:rsidR="00CF22F1" w:rsidRPr="00CF22F1" w:rsidTr="00CF22F1">
        <w:trPr>
          <w:trHeight w:val="375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до 1 % от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hanging="2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48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10.2.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Уровень </w:t>
            </w:r>
            <w:proofErr w:type="spellStart"/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</w:t>
            </w:r>
            <w:r w:rsidRPr="00CF22F1">
              <w:rPr>
                <w:rFonts w:eastAsia="Calibri"/>
                <w:color w:val="000000"/>
                <w:sz w:val="26"/>
                <w:szCs w:val="26"/>
              </w:rPr>
              <w:t>инициативного</w:t>
            </w: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 xml:space="preserve"> проекта юридическими лицами,  индивидуальными предпринимателями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1 % до 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до 1 % от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10.3.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1 % до 5 %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до 1 % от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45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10.4.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bCs/>
                <w:color w:val="000000"/>
                <w:sz w:val="26"/>
                <w:szCs w:val="26"/>
              </w:rPr>
              <w:t>Уровень имущественного и (или) трудового участия юридических лиц, индивидуальных предпринимателей в реализации инициативного проекта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от 1 % до 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</w:tr>
      <w:tr w:rsidR="00CF22F1" w:rsidRPr="00CF22F1" w:rsidTr="00CF22F1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/>
              <w:ind w:left="176" w:hanging="108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firstLine="12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до 1 % от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</w:tr>
      <w:tr w:rsidR="00CF22F1" w:rsidRPr="00CF22F1" w:rsidTr="00CF22F1">
        <w:trPr>
          <w:trHeight w:val="375"/>
        </w:trPr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eastAsia="Calibri"/>
                <w:sz w:val="26"/>
                <w:szCs w:val="26"/>
              </w:rPr>
            </w:pPr>
            <w:r w:rsidRPr="00CF22F1">
              <w:rPr>
                <w:rFonts w:eastAsia="Calibri"/>
                <w:sz w:val="26"/>
                <w:szCs w:val="26"/>
              </w:rPr>
              <w:t>Всего:</w:t>
            </w:r>
          </w:p>
        </w:tc>
        <w:tc>
          <w:tcPr>
            <w:tcW w:w="2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сумма баллов, присвоенных инициативному проекту по каждому из критериев</w:t>
            </w:r>
          </w:p>
        </w:tc>
      </w:tr>
      <w:tr w:rsidR="00CF22F1" w:rsidRPr="00CF22F1" w:rsidTr="00CF22F1">
        <w:trPr>
          <w:trHeight w:val="375"/>
        </w:trPr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ind w:left="176" w:hanging="108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CF22F1">
              <w:rPr>
                <w:rFonts w:eastAsia="Calibri"/>
                <w:color w:val="000000"/>
                <w:sz w:val="26"/>
                <w:szCs w:val="26"/>
              </w:rPr>
              <w:t>Оценка инициативного проекта</w:t>
            </w:r>
          </w:p>
        </w:tc>
        <w:tc>
          <w:tcPr>
            <w:tcW w:w="2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F1" w:rsidRPr="00CF22F1" w:rsidRDefault="00CF22F1" w:rsidP="00CF22F1">
            <w:pPr>
              <w:suppressAutoHyphens/>
              <w:spacing w:after="0" w:line="240" w:lineRule="auto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CF22F1">
              <w:rPr>
                <w:rFonts w:eastAsia="Calibri"/>
                <w:color w:val="000000"/>
                <w:sz w:val="26"/>
                <w:szCs w:val="26"/>
              </w:rPr>
              <w:t>прошел конкурсный отбор/не прошел</w:t>
            </w:r>
            <w:proofErr w:type="gramEnd"/>
            <w:r w:rsidRPr="00CF22F1">
              <w:rPr>
                <w:rFonts w:eastAsia="Calibri"/>
                <w:color w:val="000000"/>
                <w:sz w:val="26"/>
                <w:szCs w:val="26"/>
              </w:rPr>
              <w:t xml:space="preserve"> конкурсный отбор</w:t>
            </w:r>
          </w:p>
        </w:tc>
      </w:tr>
    </w:tbl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1. Оценка инициативного проекта по каждому критерию определяется в баллах.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>2. Максимальная итоговая оценка инициативного проекта составляет 85 баллов, минимальная 0.</w:t>
      </w:r>
    </w:p>
    <w:p w:rsidR="00CF22F1" w:rsidRPr="00CF22F1" w:rsidRDefault="00CF22F1" w:rsidP="00CF22F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CF22F1">
        <w:rPr>
          <w:rFonts w:eastAsia="Calibri"/>
          <w:color w:val="000000"/>
          <w:sz w:val="26"/>
          <w:szCs w:val="26"/>
        </w:rPr>
        <w:t xml:space="preserve">3. Прошедшими конкурсный отбор считаются инициативные проекты, набравшие наибольшее количество баллов, реализация которых за счёт средств бюджета МО ГП «Печора» возможна в пределах объёмов бюджетных ассигнований, предусмотренных в бюджете МО ГП «Печора». </w:t>
      </w:r>
    </w:p>
    <w:p w:rsidR="00CF22F1" w:rsidRPr="00CF22F1" w:rsidRDefault="00CF22F1" w:rsidP="00CF22F1">
      <w:pPr>
        <w:suppressAutoHyphens/>
        <w:spacing w:after="0" w:line="240" w:lineRule="auto"/>
        <w:jc w:val="right"/>
        <w:rPr>
          <w:rFonts w:eastAsia="Times New Roman"/>
          <w:sz w:val="26"/>
          <w:szCs w:val="26"/>
          <w:lang w:eastAsia="ar-SA"/>
        </w:rPr>
      </w:pPr>
    </w:p>
    <w:p w:rsidR="00CF22F1" w:rsidRPr="00CF22F1" w:rsidRDefault="00CF22F1" w:rsidP="00CF22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CF22F1">
        <w:rPr>
          <w:rFonts w:eastAsia="Times New Roman"/>
          <w:sz w:val="26"/>
          <w:szCs w:val="26"/>
          <w:lang w:eastAsia="ru-RU"/>
        </w:rPr>
        <w:t>___________________________________</w:t>
      </w:r>
    </w:p>
    <w:p w:rsidR="00CF22F1" w:rsidRPr="00CF22F1" w:rsidRDefault="00CF22F1" w:rsidP="00CF22F1">
      <w:pPr>
        <w:suppressAutoHyphens/>
        <w:spacing w:after="0" w:line="240" w:lineRule="auto"/>
        <w:rPr>
          <w:rFonts w:eastAsia="Times New Roman"/>
          <w:sz w:val="26"/>
          <w:szCs w:val="26"/>
          <w:lang w:eastAsia="ar-SA"/>
        </w:rPr>
      </w:pPr>
    </w:p>
    <w:p w:rsidR="00CF22F1" w:rsidRPr="00CF22F1" w:rsidRDefault="00CF22F1" w:rsidP="00CF22F1">
      <w:pPr>
        <w:suppressAutoHyphens/>
        <w:spacing w:after="0" w:line="240" w:lineRule="auto"/>
        <w:jc w:val="right"/>
        <w:rPr>
          <w:rFonts w:eastAsia="Times New Roman"/>
          <w:sz w:val="26"/>
          <w:szCs w:val="26"/>
          <w:lang w:eastAsia="ar-SA"/>
        </w:rPr>
      </w:pPr>
    </w:p>
    <w:p w:rsidR="00DD363E" w:rsidRDefault="00DD363E" w:rsidP="00CF22F1">
      <w:pPr>
        <w:spacing w:after="0" w:line="240" w:lineRule="auto"/>
        <w:jc w:val="center"/>
      </w:pPr>
    </w:p>
    <w:sectPr w:rsidR="00DD363E" w:rsidSect="006905C2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6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008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0F45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564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357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22F1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2021-09-13T09:21:00Z</cp:lastPrinted>
  <dcterms:created xsi:type="dcterms:W3CDTF">2021-09-13T09:20:00Z</dcterms:created>
  <dcterms:modified xsi:type="dcterms:W3CDTF">2021-09-13T09:21:00Z</dcterms:modified>
</cp:coreProperties>
</file>