
<file path=[Content_Types].xml><?xml version="1.0" encoding="utf-8"?>
<Types xmlns="http://schemas.openxmlformats.org/package/2006/content-types">
  <Default Extension="svg" ContentType="image/svg+xml"/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15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1" locked="0" layoutInCell="1" allowOverlap="1">
                <wp:simplePos x="0" y="0"/>
                <wp:positionH relativeFrom="column">
                  <wp:posOffset>-900429</wp:posOffset>
                </wp:positionH>
                <wp:positionV relativeFrom="paragraph">
                  <wp:posOffset>-680084</wp:posOffset>
                </wp:positionV>
                <wp:extent cx="7560310" cy="10720705"/>
                <wp:effectExtent l="0" t="0" r="0" b="0"/>
                <wp:wrapNone/>
                <wp:docPr id="1" name="_x0000_s117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>
                        <a:blip r:embed="rId13">
                          <a:extLst>
                            <a:ext uri="{96DAC541-7B7A-43D3-8B79-37D633B846F1}">
                              <asvg:svgBlip xmlns:asvg="http://schemas.microsoft.com/office/drawing/2016/SVG/main" r:embed="rId14"/>
                            </a:ext>
                          </a:extLst>
                        </a:blip>
                        <a:stretch/>
                      </pic:blipFill>
                      <pic:spPr bwMode="auto">
                        <a:xfrm>
                          <a:off x="0" y="0"/>
                          <a:ext cx="7560310" cy="107207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-524288;o:allowoverlap:true;o:allowincell:true;mso-position-horizontal-relative:text;margin-left:-70.90pt;mso-position-horizontal:absolute;mso-position-vertical-relative:text;margin-top:-53.55pt;mso-position-vertical:absolute;width:595.30pt;height:844.15pt;mso-wrap-distance-left:9.00pt;mso-wrap-distance-top:0.00pt;mso-wrap-distance-right:9.00pt;mso-wrap-distance-bottom:0.00pt;" stroked="f">
                <v:path textboxrect="0,0,0,0"/>
                <v:imagedata r:id="rId13" o:title=""/>
              </v:shape>
            </w:pict>
          </mc:Fallback>
        </mc:AlternateContent>
      </w:r>
      <w:r/>
    </w:p>
    <w:p>
      <w:pPr>
        <w:pStyle w:val="91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15"/>
        <w:ind w:left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15"/>
        <w:ind w:left="567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91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915"/>
        <w:ind w:left="567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</w:r>
      <w:r>
        <w:rPr>
          <w:rFonts w:ascii="Times New Roman" w:hAnsi="Times New Roman"/>
          <w:sz w:val="26"/>
          <w:szCs w:val="26"/>
          <w:lang w:val="ru-RU"/>
        </w:rPr>
      </w:r>
      <w:r>
        <w:rPr>
          <w:rFonts w:ascii="Times New Roman" w:hAnsi="Times New Roman"/>
          <w:sz w:val="26"/>
          <w:szCs w:val="26"/>
          <w:lang w:val="ru-RU"/>
        </w:rPr>
      </w:r>
    </w:p>
    <w:p>
      <w:pPr>
        <w:pStyle w:val="915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</w:r>
      <w:r>
        <w:rPr>
          <w:rFonts w:ascii="Times New Roman" w:hAnsi="Times New Roman"/>
          <w:sz w:val="26"/>
          <w:szCs w:val="26"/>
          <w:lang w:val="ru-RU"/>
        </w:rPr>
      </w:r>
      <w:r>
        <w:rPr>
          <w:rFonts w:ascii="Times New Roman" w:hAnsi="Times New Roman"/>
          <w:sz w:val="26"/>
          <w:szCs w:val="26"/>
          <w:lang w:val="ru-RU"/>
        </w:rPr>
      </w:r>
    </w:p>
    <w:tbl>
      <w:tblPr>
        <w:tblpPr w:horzAnchor="margin" w:tblpXSpec="right" w:vertAnchor="text" w:tblpY="102" w:leftFromText="180" w:topFromText="0" w:rightFromText="180" w:bottomFromText="0"/>
        <w:tblW w:w="0" w:type="auto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004"/>
      </w:tblGrid>
      <w:tr>
        <w:tblPrEx/>
        <w:trPr>
          <w:trHeight w:val="2042" w:hRule="exact"/>
        </w:trPr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004" w:type="dxa"/>
            <w:vAlign w:val="top"/>
            <w:textDirection w:val="lrTb"/>
            <w:noWrap w:val="false"/>
          </w:tcPr>
          <w:p>
            <w:pPr>
              <w:rPr>
                <w:rFonts w:ascii="Times New Roman" w:hAnsi="Times New Roman"/>
                <w14:ligatures w14:val="none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Председателю </w:t>
            </w:r>
            <w:r>
              <w:rPr>
                <w:rFonts w:ascii="Times New Roman" w:hAnsi="Times New Roman"/>
                <w14:ligatures w14:val="none"/>
              </w:rPr>
            </w:r>
            <w:r>
              <w:rPr>
                <w:rFonts w:ascii="Times New Roman" w:hAnsi="Times New Roman"/>
                <w14:ligatures w14:val="none"/>
              </w:rPr>
            </w:r>
          </w:p>
          <w:p>
            <w:pPr>
              <w:rPr>
                <w:rFonts w:ascii="Times New Roman" w:hAnsi="Times New Roman"/>
                <w14:ligatures w14:val="none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Комитета по управлению муниципальной собственностью муниципального района «Печора»</w:t>
            </w:r>
            <w:r>
              <w:rPr>
                <w:rFonts w:ascii="Times New Roman" w:hAnsi="Times New Roman"/>
                <w14:ligatures w14:val="none"/>
              </w:rPr>
            </w:r>
            <w:r>
              <w:rPr>
                <w:rFonts w:ascii="Times New Roman" w:hAnsi="Times New Roman"/>
                <w14:ligatures w14:val="none"/>
              </w:rPr>
            </w:r>
          </w:p>
          <w:p>
            <w:pPr>
              <w:rPr>
                <w:rFonts w:ascii="Times New Roman" w:hAnsi="Times New Roman"/>
                <w14:ligatures w14:val="none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</w:r>
            <w:r>
              <w:rPr>
                <w:rFonts w:ascii="Times New Roman" w:hAnsi="Times New Roman"/>
                <w14:ligatures w14:val="none"/>
              </w:rPr>
            </w:r>
            <w:r>
              <w:rPr>
                <w:rFonts w:ascii="Times New Roman" w:hAnsi="Times New Roman"/>
                <w14:ligatures w14:val="none"/>
              </w:rPr>
            </w:r>
          </w:p>
          <w:p>
            <w:pPr>
              <w:rPr>
                <w:rFonts w:ascii="Times New Roman" w:hAnsi="Times New Roman"/>
                <w14:ligatures w14:val="none"/>
              </w:rPr>
            </w:pPr>
            <w:r>
              <w:rPr>
                <w:rFonts w:ascii="Times New Roman" w:hAnsi="Times New Roman"/>
                <w:sz w:val="28"/>
                <w:szCs w:val="28"/>
                <w:lang w:val="ru-RU" w:eastAsia="ru-RU"/>
              </w:rPr>
              <w:t xml:space="preserve">Буралкиной С.И.</w:t>
            </w:r>
            <w:r>
              <w:rPr>
                <w:rFonts w:ascii="Times New Roman" w:hAnsi="Times New Roman"/>
                <w14:ligatures w14:val="none"/>
              </w:rPr>
            </w:r>
            <w:r>
              <w:rPr>
                <w:rFonts w:ascii="Times New Roman" w:hAnsi="Times New Roman"/>
                <w14:ligatures w14:val="none"/>
              </w:rPr>
            </w:r>
          </w:p>
        </w:tc>
      </w:tr>
    </w:tbl>
    <w:p>
      <w:pPr>
        <w:pStyle w:val="91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lang w:val="ru-RU"/>
        </w:rPr>
        <w:t xml:space="preserve">     </w:t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915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915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15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О </w:t>
      </w:r>
      <w:r>
        <w:rPr>
          <w:rFonts w:ascii="Times New Roman" w:hAnsi="Times New Roman"/>
          <w:lang w:val="ru-RU"/>
        </w:rPr>
        <w:t xml:space="preserve">направлении ходатайства об установлении публичного сервитута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15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линейного объекта</w:t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15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15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pStyle w:val="915"/>
        <w:ind w:left="5428"/>
        <w:tabs>
          <w:tab w:val="left" w:pos="5428" w:leader="none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lang w:val="ru-RU"/>
        </w:rPr>
        <w:t xml:space="preserve">                                                                 </w:t>
      </w:r>
      <w:r>
        <w:rPr>
          <w:rFonts w:ascii="Times New Roman" w:hAnsi="Times New Roman"/>
          <w:lang w:val="ru-RU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>
      <w:pPr>
        <w:pStyle w:val="915"/>
        <w:tabs>
          <w:tab w:val="left" w:pos="2835" w:leader="none"/>
        </w:tabs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</w:r>
      <w:r>
        <w:rPr>
          <w:rFonts w:ascii="Times New Roman" w:hAnsi="Times New Roman"/>
          <w:lang w:val="ru-RU"/>
        </w:rPr>
      </w:r>
    </w:p>
    <w:p>
      <w:pPr>
        <w:jc w:val="center"/>
        <w:tabs>
          <w:tab w:val="left" w:pos="2835" w:leader="none"/>
        </w:tabs>
        <w:rPr>
          <w:rFonts w:ascii="Times New Roman" w:hAnsi="Times New Roman"/>
          <w:sz w:val="28"/>
          <w:szCs w:val="28"/>
          <w:lang w:val="ru-RU"/>
          <w14:ligatures w14:val="none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Уважаемая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Светлана Ивановна</w:t>
      </w:r>
      <w:r>
        <w:rPr>
          <w:rFonts w:ascii="Times New Roman" w:hAnsi="Times New Roman"/>
          <w:sz w:val="28"/>
          <w:szCs w:val="28"/>
          <w:lang w:val="ru-RU"/>
        </w:rPr>
        <w:t xml:space="preserve">!</w:t>
      </w:r>
      <w:r>
        <w:rPr>
          <w:rFonts w:ascii="Times New Roman" w:hAnsi="Times New Roman"/>
          <w:sz w:val="28"/>
          <w:szCs w:val="28"/>
          <w:lang w:val="ru-RU"/>
          <w14:ligatures w14:val="none"/>
        </w:rPr>
      </w:r>
      <w:r>
        <w:rPr>
          <w:rFonts w:ascii="Times New Roman" w:hAnsi="Times New Roman"/>
          <w:sz w:val="28"/>
          <w:szCs w:val="28"/>
          <w:lang w:val="ru-RU"/>
          <w14:ligatures w14:val="none"/>
        </w:rPr>
      </w:r>
    </w:p>
    <w:p>
      <w:pPr>
        <w:pStyle w:val="915"/>
        <w:jc w:val="center"/>
        <w:tabs>
          <w:tab w:val="left" w:pos="2835" w:leader="none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tbl>
      <w:tblPr>
        <w:tblW w:w="998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28" w:type="dxa"/>
          <w:top w:w="0" w:type="dxa"/>
          <w:right w:w="28" w:type="dxa"/>
          <w:bottom w:w="0" w:type="dxa"/>
        </w:tblCellMar>
        <w:tblLook w:val="01E0" w:firstRow="1" w:lastRow="1" w:firstColumn="1" w:lastColumn="1" w:noHBand="0" w:noVBand="0"/>
      </w:tblPr>
      <w:tblGrid>
        <w:gridCol w:w="734"/>
        <w:gridCol w:w="88"/>
        <w:gridCol w:w="238"/>
        <w:gridCol w:w="2083"/>
        <w:gridCol w:w="709"/>
        <w:gridCol w:w="562"/>
        <w:gridCol w:w="351"/>
        <w:gridCol w:w="357"/>
        <w:gridCol w:w="567"/>
        <w:gridCol w:w="1285"/>
        <w:gridCol w:w="196"/>
        <w:gridCol w:w="77"/>
        <w:gridCol w:w="193"/>
        <w:gridCol w:w="232"/>
        <w:gridCol w:w="104"/>
        <w:gridCol w:w="181"/>
        <w:gridCol w:w="71"/>
        <w:gridCol w:w="494"/>
        <w:gridCol w:w="514"/>
        <w:gridCol w:w="112"/>
        <w:gridCol w:w="367"/>
        <w:gridCol w:w="111"/>
        <w:gridCol w:w="54"/>
        <w:gridCol w:w="208"/>
        <w:gridCol w:w="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80"/>
        </w:trPr>
        <w:tc>
          <w:tcPr>
            <w:tcW w:w="734" w:type="dxa"/>
            <w:vAlign w:val="center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W w:w="9246" w:type="dxa"/>
            <w:vAlign w:val="center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b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b/>
                <w:sz w:val="22"/>
                <w:szCs w:val="22"/>
                <w:lang w:val="ru-RU"/>
              </w:rPr>
              <w:t xml:space="preserve">Ходатайство об установлении публичного сервитута</w:t>
            </w:r>
            <w:r>
              <w:rPr>
                <w:rFonts w:ascii="Times New Roman" w:hAnsi="Times New Roman" w:eastAsia="Times New Roman"/>
                <w:b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b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bottom w:val="none" w:color="000000" w:sz="4" w:space="0"/>
              <w:right w:val="none" w:color="000000" w:sz="4" w:space="0"/>
            </w:tcBorders>
            <w:tcW w:w="326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9"/>
            <w:tcBorders>
              <w:left w:val="none" w:color="000000" w:sz="4" w:space="0"/>
              <w:right w:val="none" w:color="000000" w:sz="4" w:space="0"/>
            </w:tcBorders>
            <w:tcW w:w="8566" w:type="dxa"/>
            <w:vAlign w:val="center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Администрация муниципального района «Печора»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</w:r>
          </w:p>
        </w:tc>
        <w:tc>
          <w:tcPr>
            <w:gridSpan w:val="3"/>
            <w:tcBorders>
              <w:left w:val="none" w:color="000000" w:sz="4" w:space="0"/>
              <w:bottom w:val="none" w:color="000000" w:sz="4" w:space="0"/>
            </w:tcBorders>
            <w:tcW w:w="354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326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9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8566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  <w:t xml:space="preserve">(наименование органа, принимающего решение об установлении публичного сервитута)</w:t>
            </w: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</w:tcBorders>
            <w:tcW w:w="354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2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W w:w="9246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Сведения о лице, представившем ходатайство об установлении публичного сервитута</w:t>
              <w:br w:type="textWrapping" w:clear="all"/>
              <w:t xml:space="preserve">(далее – заявитель): АО «Интер РАО – Электрогенерация»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2.1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Полное наименование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Акционерное общество «Интер РАО - Электрогенерация»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2.2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Сокращенное наименование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АО «Интер РАО – Электрогенерация»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2.3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Организационно-правовая форма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Акционерное общество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2.4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Почтовый адрес (индекс, субъект Российской Федерации, населенный пункт, улица, дом)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АДРЕС ДЛЯ НАПРАВЛЕНИЯ КОРРЕСПОНДЕНЦИИ: 169600, Республика Коми, г. Печора, Печорская ГРЭС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2.5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Фактический адрес (индекс, субъект Российской Федерации, населенный пункт, улица, дом)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119435, г. Москва, ул. Большая Пироговская, д.27, стр.1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2.6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fldChar w:fldCharType="begin"/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instrText xml:space="preserve"> HYPERLINK "mailto:secretary_pechgres@interrao.ru" </w:instrTex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fldChar w:fldCharType="separate"/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secretary_pechgres@interrao.ru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fldChar w:fldCharType="end"/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15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2.7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ОГРН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2"/>
                <w:szCs w:val="22"/>
                <w:shd w:val="clear" w:color="auto" w:fill="ffffff"/>
                <w:lang w:val="ru-RU"/>
              </w:rPr>
              <w:t xml:space="preserve">1117746460358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2.8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ИНН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3"/>
                <w:szCs w:val="23"/>
                <w:lang w:val="ru-RU"/>
              </w:rPr>
              <w:t xml:space="preserve">7704784450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00"/>
        </w:trPr>
        <w:tc>
          <w:tcPr>
            <w:tcW w:w="734" w:type="dxa"/>
            <w:vAlign w:val="center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3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W w:w="9246" w:type="dxa"/>
            <w:vAlign w:val="center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Сведения о представителе заявителя: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3.1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Фамилия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Мартюшева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Имя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Елена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Отчество (при наличии)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Алексеевна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3.2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Адрес электронной почты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fldChar w:fldCharType="begin"/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instrText xml:space="preserve"> HYPERLINK "mailto:martyusheva_ea@interrao.ru" </w:instrTex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fldChar w:fldCharType="separate"/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martyusheva_ea@interrao.ru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fldChar w:fldCharType="end"/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15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3.3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Телефон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+7-912-182-45-90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3.4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Наименование и реквизиты документа, подтверждающего полномочия представителя заявителя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0"/>
            <w:tcW w:w="6128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Доверенность от 20.10.2025 г. зарегистрировано в реестре №77/822-н/77-2025-14-2340.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15"/>
              <w:ind w:left="57" w:righ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Доверенность от 06.05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.2026 г. зарегистрировано в реестре №11/74-н/11-2026-1-450.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4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Borders>
              <w:bottom w:val="none" w:color="000000" w:sz="4" w:space="0"/>
            </w:tcBorders>
            <w:tcW w:w="9246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"/>
                <w:szCs w:val="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Прошу установить публичный сервитут в отношении земель и (или) з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емельного(ых) участка(ов) в целях (указываются цели, предусмотренные статьей 39.37 Земельного кодекса Российской Федерации или статьей 3.6 Федерального закона от 25 октября 2001 г. № 137-ФЗ «О введении в действие Земельного кодекса Российской Федерации»):</w:t>
              <w:br/>
            </w:r>
            <w:r>
              <w:rPr>
                <w:rFonts w:ascii="Times New Roman" w:hAnsi="Times New Roman" w:eastAsia="Times New Roman"/>
                <w:sz w:val="2"/>
                <w:szCs w:val="2"/>
                <w:lang w:val="ru-RU"/>
              </w:rPr>
            </w:r>
            <w:r>
              <w:rPr>
                <w:rFonts w:ascii="Times New Roman" w:hAnsi="Times New Roman" w:eastAsia="Times New Roman"/>
                <w:sz w:val="2"/>
                <w:szCs w:val="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54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8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2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9066" w:type="dxa"/>
            <w:vAlign w:val="top"/>
            <w:textDirection w:val="lrTb"/>
            <w:noWrap w:val="false"/>
          </w:tcPr>
          <w:p>
            <w:pPr>
              <w:pStyle w:val="915"/>
              <w:jc w:val="both"/>
              <w:rPr>
                <w:rFonts w:ascii="Times New Roman" w:hAnsi="Times New Roman" w:eastAsia="Times New Roman"/>
                <w:b/>
                <w:bCs/>
                <w:color w:val="ff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ff000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в целях размещения и эксплуатации существующего линейного объекта тепловых сетей «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Магистральные теплосети от камеры №8 до камеры №19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» кадастровый номер отсутствует.</w:t>
            </w:r>
            <w:r>
              <w:rPr>
                <w:rFonts w:ascii="Times New Roman" w:hAnsi="Times New Roman" w:eastAsia="Times New Roman"/>
                <w:b/>
                <w:bCs/>
                <w:color w:val="ff0000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ff0000"/>
                <w:sz w:val="22"/>
                <w:szCs w:val="22"/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92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70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8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pPr>
            <w:r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r>
            <w:r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r>
            <w:r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r>
          </w:p>
        </w:tc>
        <w:tc>
          <w:tcPr>
            <w:gridSpan w:val="22"/>
            <w:tcBorders>
              <w:left w:val="none" w:color="000000" w:sz="4" w:space="0"/>
              <w:right w:val="none" w:color="000000" w:sz="4" w:space="0"/>
            </w:tcBorders>
            <w:tcW w:w="9066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pPr>
            <w:r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r>
            <w:r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r>
            <w:r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</w:tcBorders>
            <w:tcW w:w="92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pPr>
            <w:r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r>
            <w:r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r>
            <w:r>
              <w:rPr>
                <w:rFonts w:ascii="Times New Roman" w:hAnsi="Times New Roman" w:eastAsia="Times New Roman"/>
                <w:sz w:val="12"/>
                <w:szCs w:val="1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5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7"/>
            <w:tcBorders>
              <w:bottom w:val="none" w:color="000000" w:sz="4" w:space="0"/>
              <w:right w:val="none" w:color="000000" w:sz="4" w:space="0"/>
            </w:tcBorders>
            <w:tcW w:w="4388" w:type="dxa"/>
            <w:vAlign w:val="top"/>
            <w:textDirection w:val="lrTb"/>
            <w:noWrap w:val="false"/>
          </w:tcPr>
          <w:p>
            <w:pPr>
              <w:pStyle w:val="915"/>
              <w:ind w:lef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Испрашиваемый срок публичного сервитута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0"/>
            <w:tcBorders>
              <w:left w:val="none" w:color="000000" w:sz="4" w:space="0"/>
              <w:right w:val="none" w:color="000000" w:sz="4" w:space="0"/>
            </w:tcBorders>
            <w:tcW w:w="3400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49 (сорок девять) лет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7"/>
            <w:tcBorders>
              <w:left w:val="none" w:color="000000" w:sz="4" w:space="0"/>
              <w:bottom w:val="none" w:color="000000" w:sz="4" w:space="0"/>
            </w:tcBorders>
            <w:tcW w:w="1458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Borders>
              <w:top w:val="none" w:color="000000" w:sz="4" w:space="0"/>
              <w:right w:val="none" w:color="000000" w:sz="4" w:space="0"/>
            </w:tcBorders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pP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</w:p>
        </w:tc>
        <w:tc>
          <w:tcPr>
            <w:gridSpan w:val="20"/>
            <w:tcBorders>
              <w:top w:val="none" w:color="000000" w:sz="4" w:space="0"/>
              <w:left w:val="none" w:color="000000" w:sz="4" w:space="0"/>
            </w:tcBorders>
            <w:tcW w:w="6128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pP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6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Borders>
              <w:bottom w:val="none" w:color="000000" w:sz="4" w:space="0"/>
            </w:tcBorders>
            <w:tcW w:w="9246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"/>
                <w:szCs w:val="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Срок, в течение которого в соответствии с расчетом заявителя использование земельного уча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стка (его части) и (или) расположенного на нем объекта недвижимости в соответствии с их разрешенным использованием будет в соответствии с подпунктом 4 пункта 1 статьи 39.41 Земельного кодекса Российской Федерации невозможно или существенно затруднено (при</w:t>
              <w:br/>
            </w:r>
            <w:r>
              <w:rPr>
                <w:rFonts w:ascii="Times New Roman" w:hAnsi="Times New Roman" w:eastAsia="Times New Roman"/>
                <w:sz w:val="2"/>
                <w:szCs w:val="2"/>
                <w:lang w:val="ru-RU"/>
              </w:rPr>
            </w:r>
            <w:r>
              <w:rPr>
                <w:rFonts w:ascii="Times New Roman" w:hAnsi="Times New Roman" w:eastAsia="Times New Roman"/>
                <w:sz w:val="2"/>
                <w:szCs w:val="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5"/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3680" w:type="dxa"/>
            <w:vAlign w:val="top"/>
            <w:textDirection w:val="lrTb"/>
            <w:noWrap w:val="false"/>
          </w:tcPr>
          <w:p>
            <w:pPr>
              <w:pStyle w:val="915"/>
              <w:ind w:lef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возникновении таких обстоятельств)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8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325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1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308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bottom w:val="single" w:color="000000" w:sz="4" w:space="0"/>
            </w:tcBorders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Borders>
              <w:top w:val="none" w:color="000000" w:sz="4" w:space="0"/>
              <w:bottom w:val="single" w:color="000000" w:sz="4" w:space="0"/>
            </w:tcBorders>
            <w:tcW w:w="9246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pP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7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0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6436" w:type="dxa"/>
            <w:vAlign w:val="top"/>
            <w:textDirection w:val="lrTb"/>
            <w:noWrap w:val="false"/>
          </w:tcPr>
          <w:p>
            <w:pPr>
              <w:pStyle w:val="915"/>
              <w:ind w:lef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Обоснование необходимости установления публичного сервитута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8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92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80"/>
        </w:trPr>
        <w:tc>
          <w:tcPr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pP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</w:p>
        </w:tc>
        <w:tc>
          <w:tcPr>
            <w:gridSpan w:val="20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6128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pP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keepNext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46" w:type="dxa"/>
            <w:vAlign w:val="top"/>
            <w:textDirection w:val="lrTb"/>
            <w:noWrap w:val="false"/>
          </w:tcPr>
          <w:p>
            <w:pPr>
              <w:ind w:left="57" w:right="57" w:firstLine="368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Установление публичного сервитута необходимо для обеспечения надлежащей безопасности, безопасной эксплуатации и технического обслуживания существующего линейного объекта тепловых сетей — сооружения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 «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Магистральные теплосети от камеры №8 до камеры №19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» (инвентарный номер 1435, протяженность 706,5 п.м.), находящегося в собственности АО «Интер РАО – Электрогенерация».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  <w:p>
            <w:pPr>
              <w:ind w:left="57" w:right="57" w:firstLine="368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Размещение указанного объекта предусмотрено следующими документами территориального планирования: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  <w:p>
            <w:pPr>
              <w:pStyle w:val="755"/>
              <w:numPr>
                <w:ilvl w:val="0"/>
                <w:numId w:val="7"/>
              </w:numPr>
              <w:ind w:left="142" w:right="57" w:firstLine="283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Генеральный план муниципального образования городского поселения «Печора»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утвержденный постановлением Правительства Республики Коми от 24.05.2011 № 2-13/102;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  <w:p>
            <w:pPr>
              <w:pStyle w:val="755"/>
              <w:numPr>
                <w:ilvl w:val="0"/>
                <w:numId w:val="7"/>
              </w:numPr>
              <w:ind w:left="142" w:right="57" w:firstLine="283"/>
              <w:jc w:val="both"/>
              <w:tabs>
                <w:tab w:val="left" w:pos="709" w:leader="none"/>
              </w:tabs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Схема территориального планирования муниципального образования муниципального района «Печора»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,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 утвержденная решением Совета МО муниципального района «Печора» от 26.03.2010 № 4-22/409.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  <w:p>
            <w:pPr>
              <w:ind w:left="57" w:right="57" w:firstLine="368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В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 связи с тем, что инженерное сооружение фактически существует, его надлежащая эксплуатация и техническое обслуживание осуществляются в границах ранее установленной охранной зоны (реестровый номер границы в ЕГРН: 11:12-6.189 (11.12.2.207) от 03.04.2017). Гр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аницы испрашиваемого публичного сервитута определены в соответствии с пунктом 2 статьи 39.43 Земельного кодекса Российской Федерации и не превышают размеров указанной охранной зоны.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  <w:p>
            <w:pPr>
              <w:ind w:left="57" w:right="57" w:firstLine="368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Данные границы установлены с учетом требований безопасности, а также соблюдения условий, наименее обременительных для использования земельных участков (земель) в соответствии с их целевым назначением, разрешенным использованием и требованиями об обеспечени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и рационального использования земель.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  <w:p>
            <w:pPr>
              <w:pStyle w:val="915"/>
              <w:ind w:firstLine="400"/>
              <w:jc w:val="both"/>
              <w:rPr>
                <w:rFonts w:ascii="Times New Roman" w:hAnsi="Times New Roman" w:eastAsia="Times New Roman"/>
                <w:color w:val="ff0000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color w:val="ff0000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color w:val="ff0000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color w:val="ff0000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</w:tcBorders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15"/>
              <w:jc w:val="center"/>
              <w:keepNext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8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Borders>
              <w:top w:val="single" w:color="000000" w:sz="4" w:space="0"/>
              <w:bottom w:val="none" w:color="000000" w:sz="4" w:space="0"/>
            </w:tcBorders>
            <w:tcW w:w="9246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jc w:val="both"/>
              <w:keepNext/>
              <w:rPr>
                <w:rFonts w:ascii="Times New Roman" w:hAnsi="Times New Roman" w:eastAsia="Times New Roman"/>
                <w:sz w:val="2"/>
                <w:szCs w:val="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Сведения о правообладателе инженерного сооружения, которое переносится в связи с изъятие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м земельного участка для государственных или муниципальных нужд в случае, если заявитель не является собственником указанного инженерного сооружения (в данном случае указываются сведения в объеме, предусмотренном пунктом 2 настоящей Формы) (заполняется в с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лучае, если ходатайство об установлении публичного сервитута подается с целью установления сервитута в целях реконструкции инженерного сооружения, которое переносится в связи с изъятием такого земельного участка для государственных или муниципальных нужд)</w:t>
              <w:br/>
            </w:r>
            <w:r>
              <w:rPr>
                <w:rFonts w:ascii="Times New Roman" w:hAnsi="Times New Roman" w:eastAsia="Times New Roman"/>
                <w:sz w:val="2"/>
                <w:szCs w:val="2"/>
                <w:lang w:val="ru-RU"/>
              </w:rPr>
            </w:r>
            <w:r>
              <w:rPr>
                <w:rFonts w:ascii="Times New Roman" w:hAnsi="Times New Roman" w:eastAsia="Times New Roman"/>
                <w:sz w:val="2"/>
                <w:szCs w:val="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88" w:type="dxa"/>
            <w:vAlign w:val="top"/>
            <w:textDirection w:val="lrTb"/>
            <w:noWrap w:val="false"/>
          </w:tcPr>
          <w:p>
            <w:pPr>
              <w:pStyle w:val="915"/>
              <w:ind w:lef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4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7135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9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023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Borders>
              <w:top w:val="none" w:color="000000" w:sz="4" w:space="0"/>
            </w:tcBorders>
            <w:tcW w:w="9246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pP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</w:p>
        </w:tc>
      </w:tr>
      <w:tr>
        <w:tblPrEx/>
        <w:trPr>
          <w:trHeight w:val="485"/>
        </w:trPr>
        <w:tc>
          <w:tcPr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9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8"/>
            <w:tcW w:w="4955" w:type="dxa"/>
            <w:vAlign w:val="top"/>
            <w:vMerge w:val="restart"/>
            <w:textDirection w:val="lrTb"/>
            <w:noWrap w:val="false"/>
          </w:tcPr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Кадастровые номера земельных участков (при их наличии), в отношении которых испрашивается публичный сервитут и границы которых внесены в Единый государственный реестр недвижимости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11:12:1702004:81,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0,10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485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11:12:1702008:706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5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485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11:12:1702004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529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/>
        <w:trPr>
          <w:trHeight w:val="283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8"/>
            <w:tcW w:w="4955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gridSpan w:val="16"/>
            <w:tcW w:w="4291" w:type="dxa"/>
            <w:vAlign w:val="top"/>
            <w:vMerge w:val="restart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11:12:1702008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,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часть земельного участка площадью 11455 кв.м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10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W w:w="9246" w:type="dxa"/>
            <w:vAlign w:val="top"/>
            <w:textDirection w:val="lrTb"/>
            <w:noWrap w:val="false"/>
          </w:tcPr>
          <w:p>
            <w:pPr>
              <w:ind w:left="57" w:right="57"/>
              <w:jc w:val="both"/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  <w14:ligatures w14:val="none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Вид права, на котором инженерное сооружение принадлежит заявителю (если подано ходатайство об установлении публичного сервитута в целях реконструкции или эксплуатации инженерного сооружения):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п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раво собственности,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подтвержденное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</w:rPr>
              <w:t xml:space="preserve"> уточненным актом приема-передачи «Основные средства» от 01.10.2012, составленным между ОАО «ОГК-3» и ОАО «ИНТЕР РАО-Электрогенерация».</w:t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b/>
                <w:bCs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11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W w:w="9246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Сведения о способах представления результатов рассмотрения ходатайства: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82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1"/>
            <w:tcW w:w="6513" w:type="dxa"/>
            <w:vAlign w:val="top"/>
            <w:vMerge w:val="restart"/>
            <w:textDirection w:val="lrTb"/>
            <w:noWrap w:val="false"/>
          </w:tcPr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в виде электронного документа, который направляется уполномоченным органом заявителю посредством электронной почты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bottom w:val="none" w:color="000000" w:sz="4" w:space="0"/>
              <w:right w:val="none" w:color="000000" w:sz="4" w:space="0"/>
            </w:tcBorders>
            <w:tcW w:w="425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7"/>
            <w:tcBorders>
              <w:left w:val="none" w:color="000000" w:sz="4" w:space="0"/>
              <w:right w:val="non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да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Borders>
              <w:left w:val="none" w:color="000000" w:sz="4" w:space="0"/>
              <w:bottom w:val="none" w:color="000000" w:sz="4" w:space="0"/>
            </w:tcBorders>
            <w:tcW w:w="465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82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1"/>
            <w:tcW w:w="6513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right w:val="none" w:color="000000" w:sz="4" w:space="0"/>
            </w:tcBorders>
            <w:tcW w:w="425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7"/>
            <w:tcBorders>
              <w:left w:val="none" w:color="000000" w:sz="4" w:space="0"/>
              <w:right w:val="none" w:color="000000" w:sz="4" w:space="0"/>
            </w:tcBorders>
            <w:tcW w:w="1843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  <w:t xml:space="preserve">(да/нет)</w:t>
            </w: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</w:tcBorders>
            <w:tcW w:w="465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82"/>
        </w:trPr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1"/>
            <w:tcW w:w="6513" w:type="dxa"/>
            <w:vAlign w:val="top"/>
            <w:vMerge w:val="restart"/>
            <w:textDirection w:val="lrTb"/>
            <w:noWrap w:val="false"/>
          </w:tcPr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в виде бумажного документа, который заявитель получает непосредственно при личном обращении или посредством почтового отправления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bottom w:val="none" w:color="000000" w:sz="4" w:space="0"/>
              <w:right w:val="none" w:color="000000" w:sz="4" w:space="0"/>
            </w:tcBorders>
            <w:tcW w:w="425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7"/>
            <w:tcBorders>
              <w:left w:val="none" w:color="000000" w:sz="4" w:space="0"/>
              <w:right w:val="none" w:color="000000" w:sz="4" w:space="0"/>
            </w:tcBorders>
            <w:tcW w:w="1843" w:type="dxa"/>
            <w:vAlign w:val="bottom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да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Borders>
              <w:left w:val="none" w:color="000000" w:sz="4" w:space="0"/>
              <w:bottom w:val="none" w:color="000000" w:sz="4" w:space="0"/>
            </w:tcBorders>
            <w:tcW w:w="465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82"/>
        </w:trPr>
        <w:tc>
          <w:tcPr>
            <w:tcBorders>
              <w:bottom w:val="single" w:color="000000" w:sz="4" w:space="0"/>
            </w:tcBorders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1"/>
            <w:tcBorders>
              <w:bottom w:val="single" w:color="000000" w:sz="4" w:space="0"/>
            </w:tcBorders>
            <w:tcW w:w="6513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bottom w:val="single" w:color="000000" w:sz="4" w:space="0"/>
              <w:right w:val="none" w:color="000000" w:sz="4" w:space="0"/>
            </w:tcBorders>
            <w:tcW w:w="425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7"/>
            <w:tcBorders>
              <w:left w:val="none" w:color="000000" w:sz="4" w:space="0"/>
              <w:bottom w:val="single" w:color="000000" w:sz="4" w:space="0"/>
              <w:right w:val="none" w:color="000000" w:sz="4" w:space="0"/>
            </w:tcBorders>
            <w:tcW w:w="1843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  <w:t xml:space="preserve">(да/нет)</w:t>
            </w: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single" w:color="000000" w:sz="4" w:space="0"/>
            </w:tcBorders>
            <w:tcW w:w="465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12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4031" w:type="dxa"/>
            <w:vAlign w:val="top"/>
            <w:textDirection w:val="lrTb"/>
            <w:noWrap w:val="false"/>
          </w:tcPr>
          <w:p>
            <w:pPr>
              <w:pStyle w:val="915"/>
              <w:ind w:lef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Документы, прилагаемые к ходатайству: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7"/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23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92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single" w:color="000000" w:sz="4" w:space="0"/>
            </w:tcBorders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4"/>
            <w:tcBorders>
              <w:top w:val="none" w:color="000000" w:sz="4" w:space="0"/>
              <w:left w:val="single" w:color="000000" w:sz="4" w:space="0"/>
              <w:bottom w:val="none" w:color="000000" w:sz="4" w:space="0"/>
              <w:right w:val="none" w:color="000000" w:sz="4" w:space="0"/>
            </w:tcBorders>
            <w:tcW w:w="311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pP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</w:p>
        </w:tc>
        <w:tc>
          <w:tcPr>
            <w:gridSpan w:val="20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6128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pP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  <w:r>
              <w:rPr>
                <w:rFonts w:ascii="Times New Roman" w:hAnsi="Times New Roman" w:eastAsia="Times New Roman"/>
                <w:sz w:val="6"/>
                <w:szCs w:val="6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Borders>
              <w:top w:val="non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46" w:type="dxa"/>
            <w:vAlign w:val="top"/>
            <w:textDirection w:val="lrTb"/>
            <w:noWrap w:val="false"/>
          </w:tcPr>
          <w:p>
            <w:pPr>
              <w:pStyle w:val="755"/>
              <w:numPr>
                <w:ilvl w:val="0"/>
                <w:numId w:val="8"/>
              </w:numPr>
              <w:ind w:left="0" w:right="57" w:firstLine="142"/>
              <w:jc w:val="both"/>
              <w:tabs>
                <w:tab w:val="left" w:pos="283" w:leader="none"/>
                <w:tab w:val="left" w:pos="425" w:leader="none"/>
              </w:tabs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Графическое описание местоположения границ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 публичного сервитута объекта «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Магистральные теплосети от камеры №8 до камеры №19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» в электронном виде;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  <w:p>
            <w:pPr>
              <w:pStyle w:val="755"/>
              <w:numPr>
                <w:ilvl w:val="0"/>
                <w:numId w:val="8"/>
              </w:numPr>
              <w:ind w:left="0" w:right="57" w:firstLine="142"/>
              <w:jc w:val="both"/>
              <w:tabs>
                <w:tab w:val="left" w:pos="283" w:leader="none"/>
                <w:tab w:val="left" w:pos="425" w:leader="none"/>
              </w:tabs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sz w:val="22"/>
                <w:szCs w:val="22"/>
                <w:highlight w:val="none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2"/>
                <w:szCs w:val="22"/>
                <w:highlight w:val="none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Копия доверенности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 от 20.10.2025, зарегистрированной в реестре за № 77/822-н/77-2025-14-2340 на 5 л. в 1 экз.;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  <w:p>
            <w:pPr>
              <w:pStyle w:val="755"/>
              <w:numPr>
                <w:ilvl w:val="0"/>
                <w:numId w:val="8"/>
              </w:numPr>
              <w:ind w:left="0" w:right="57" w:firstLine="142"/>
              <w:jc w:val="both"/>
              <w:tabs>
                <w:tab w:val="left" w:pos="283" w:leader="none"/>
                <w:tab w:val="left" w:pos="425" w:leader="none"/>
              </w:tabs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sz w:val="22"/>
                <w:szCs w:val="22"/>
                <w:highlight w:val="none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Копия доверенности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 от 06.05.2026, зарегистрированной в реестре за № 11/74-н/11-2026-1-450 на 1 л. в 1 экз.;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  <w:p>
            <w:pPr>
              <w:pStyle w:val="755"/>
              <w:numPr>
                <w:ilvl w:val="0"/>
                <w:numId w:val="8"/>
              </w:numPr>
              <w:ind w:left="0" w:right="57" w:firstLine="142"/>
              <w:jc w:val="both"/>
              <w:tabs>
                <w:tab w:val="left" w:pos="283" w:leader="none"/>
                <w:tab w:val="left" w:pos="425" w:leader="none"/>
              </w:tabs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/>
                <w:sz w:val="22"/>
                <w:szCs w:val="22"/>
                <w:highlight w:val="none"/>
                <w:lang w:val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Копия уточненного акта приема-передачи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 основных средств от ОАО «ОГК-3» в ОАО «ИНТЕР РАО-Электрогенерация» от 01.10.2012 на 2 л. в 1 экз.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  <w14:ligatures w14:val="none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Borders>
              <w:top w:val="single" w:color="000000" w:sz="4" w:space="0"/>
            </w:tcBorders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13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Borders>
              <w:top w:val="single" w:color="000000" w:sz="4" w:space="0"/>
            </w:tcBorders>
            <w:tcW w:w="9246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Подтверждаю согласие на обработку персональных данных (сбор, систематизацию, накопление, хранение, уточнение (обновление, изменение), использование, распростране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ние (в том числе передачу), обезличивание, блокирование, уничтожение персональных данных, а также иных действий, необходимых для обработки персональных данных в соответствии с законодательством Российской Федерации), в том числе в автоматизированном режиме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14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4"/>
            <w:tcW w:w="9246" w:type="dxa"/>
            <w:vAlign w:val="top"/>
            <w:textDirection w:val="lrTb"/>
            <w:noWrap w:val="false"/>
          </w:tcPr>
          <w:p>
            <w:pPr>
              <w:pStyle w:val="915"/>
              <w:ind w:left="57" w:right="57"/>
              <w:jc w:val="both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Подтв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ерждаю, что сведения, указанные в настоящем ходатайстве, на дату представления ходатайства достоверны; документы (копии документов) и содержащиеся в них сведения соответствуют требованиям, установленным статьей 39.41 Земельного кодекса Российской Федерации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restart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15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1"/>
            <w:tcW w:w="6513" w:type="dxa"/>
            <w:vAlign w:val="top"/>
            <w:textDirection w:val="lrTb"/>
            <w:noWrap w:val="false"/>
          </w:tcPr>
          <w:p>
            <w:pPr>
              <w:pStyle w:val="915"/>
              <w:ind w:lef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Подпись: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3"/>
            <w:tcBorders>
              <w:top w:val="none" w:color="000000" w:sz="4" w:space="0"/>
            </w:tcBorders>
            <w:tcW w:w="2733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Дата: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bottom w:val="none" w:color="000000" w:sz="4" w:space="0"/>
              <w:right w:val="none" w:color="000000" w:sz="4" w:space="0"/>
            </w:tcBorders>
            <w:tcW w:w="8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21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22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left w:val="none" w:color="000000" w:sz="4" w:space="0"/>
              <w:bottom w:val="none" w:color="000000" w:sz="4" w:space="0"/>
            </w:tcBorders>
            <w:tcW w:w="273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3"/>
            <w:tcBorders>
              <w:top w:val="none" w:color="000000" w:sz="4" w:space="0"/>
              <w:bottom w:val="none" w:color="000000" w:sz="4" w:space="0"/>
            </w:tcBorders>
            <w:tcW w:w="2733" w:type="dxa"/>
            <w:vAlign w:val="top"/>
            <w:textDirection w:val="lrTb"/>
            <w:noWrap w:val="false"/>
          </w:tcPr>
          <w:p>
            <w:pPr>
              <w:pStyle w:val="915"/>
              <w:ind w:lef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8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2321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3122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Мартюшева Е.А.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273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  <w:right w:val="none" w:color="000000" w:sz="4" w:space="0"/>
            </w:tcBorders>
            <w:tcW w:w="193" w:type="dxa"/>
            <w:vAlign w:val="top"/>
            <w:textDirection w:val="lrTb"/>
            <w:noWrap w:val="false"/>
          </w:tcPr>
          <w:p>
            <w:pPr>
              <w:pStyle w:val="915"/>
              <w:jc w:val="right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«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336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2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»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100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2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532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</w:tcBorders>
            <w:tcW w:w="300" w:type="dxa"/>
            <w:vAlign w:val="top"/>
            <w:textDirection w:val="lrTb"/>
            <w:noWrap w:val="false"/>
          </w:tcPr>
          <w:p>
            <w:pPr>
              <w:pStyle w:val="915"/>
              <w:ind w:left="57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  <w:t xml:space="preserve">г.</w:t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734" w:type="dxa"/>
            <w:vAlign w:val="top"/>
            <w:vMerge w:val="continue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tcBorders>
              <w:top w:val="none" w:color="000000" w:sz="4" w:space="0"/>
              <w:right w:val="none" w:color="000000" w:sz="4" w:space="0"/>
            </w:tcBorders>
            <w:tcW w:w="88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2"/>
            <w:tcBorders>
              <w:left w:val="none" w:color="000000" w:sz="4" w:space="0"/>
              <w:right w:val="none" w:color="000000" w:sz="4" w:space="0"/>
            </w:tcBorders>
            <w:tcW w:w="2321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  <w:t xml:space="preserve">(подпись)</w:t>
            </w: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right w:val="none" w:color="000000" w:sz="4" w:space="0"/>
            </w:tcBorders>
            <w:tcW w:w="709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5"/>
            <w:tcBorders>
              <w:left w:val="none" w:color="000000" w:sz="4" w:space="0"/>
              <w:right w:val="none" w:color="000000" w:sz="4" w:space="0"/>
            </w:tcBorders>
            <w:tcW w:w="3122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  <w:t xml:space="preserve">(инициалы, фамилия)</w:t>
            </w: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r>
            <w:r>
              <w:rPr>
                <w:rFonts w:ascii="Times New Roman" w:hAnsi="Times New Roman" w:eastAsia="Times New Roman"/>
                <w:sz w:val="18"/>
                <w:szCs w:val="18"/>
                <w:lang w:val="ru-RU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</w:tcBorders>
            <w:tcW w:w="273" w:type="dxa"/>
            <w:vAlign w:val="top"/>
            <w:textDirection w:val="lrTb"/>
            <w:noWrap w:val="false"/>
          </w:tcPr>
          <w:p>
            <w:pPr>
              <w:pStyle w:val="915"/>
              <w:jc w:val="center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  <w:tc>
          <w:tcPr>
            <w:gridSpan w:val="13"/>
            <w:tcBorders>
              <w:top w:val="none" w:color="000000" w:sz="4" w:space="0"/>
            </w:tcBorders>
            <w:tcW w:w="2733" w:type="dxa"/>
            <w:vAlign w:val="top"/>
            <w:textDirection w:val="lrTb"/>
            <w:noWrap w:val="false"/>
          </w:tcPr>
          <w:p>
            <w:pPr>
              <w:pStyle w:val="915"/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  <w:r>
              <w:rPr>
                <w:rFonts w:ascii="Times New Roman" w:hAnsi="Times New Roman" w:eastAsia="Times New Roman"/>
                <w:sz w:val="22"/>
                <w:szCs w:val="22"/>
                <w:lang w:val="ru-RU"/>
              </w:rPr>
            </w:r>
          </w:p>
        </w:tc>
      </w:tr>
    </w:tbl>
    <w:p>
      <w:pPr>
        <w:pStyle w:val="915"/>
        <w:rPr>
          <w:rFonts w:ascii="Times New Roman" w:hAnsi="Times New Roman" w:eastAsia="Times New Roman"/>
          <w:lang w:val="ru-RU"/>
        </w:rPr>
      </w:pPr>
      <w:r>
        <w:rPr>
          <w:rFonts w:ascii="Times New Roman" w:hAnsi="Times New Roman" w:eastAsia="Times New Roman"/>
          <w:lang w:val="ru-RU"/>
        </w:rPr>
      </w:r>
      <w:r>
        <w:rPr>
          <w:rFonts w:ascii="Times New Roman" w:hAnsi="Times New Roman" w:eastAsia="Times New Roman"/>
          <w:lang w:val="ru-RU"/>
        </w:rPr>
      </w:r>
      <w:r>
        <w:rPr>
          <w:rFonts w:ascii="Times New Roman" w:hAnsi="Times New Roman" w:eastAsia="Times New Roman"/>
          <w:lang w:val="ru-RU"/>
        </w:rPr>
      </w:r>
    </w:p>
    <w:p>
      <w:pPr>
        <w:pStyle w:val="915"/>
        <w:rPr>
          <w:rFonts w:ascii="Times New Roman" w:hAnsi="Times New Roman" w:eastAsia="Times New Roman"/>
          <w:lang w:val="ru-RU"/>
        </w:rPr>
      </w:pPr>
      <w:r>
        <w:rPr>
          <w:rFonts w:ascii="Times New Roman" w:hAnsi="Times New Roman" w:eastAsia="Times New Roman"/>
          <w:lang w:val="ru-RU"/>
        </w:rPr>
      </w:r>
      <w:r>
        <w:rPr>
          <w:rFonts w:ascii="Times New Roman" w:hAnsi="Times New Roman" w:eastAsia="Times New Roman"/>
          <w:lang w:val="ru-RU"/>
        </w:rPr>
      </w:r>
      <w:r>
        <w:rPr>
          <w:rFonts w:ascii="Times New Roman" w:hAnsi="Times New Roman" w:eastAsia="Times New Roman"/>
          <w:lang w:val="ru-RU"/>
        </w:rPr>
      </w:r>
    </w:p>
    <w:p>
      <w:pPr>
        <w:pStyle w:val="915"/>
        <w:jc w:val="center"/>
        <w:tabs>
          <w:tab w:val="left" w:pos="2835" w:leader="none"/>
        </w:tabs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sectPr>
      <w:headerReference w:type="default" r:id="rId9"/>
      <w:headerReference w:type="even" r:id="rId10"/>
      <w:footerReference w:type="default" r:id="rId11"/>
      <w:footerReference w:type="even" r:id="rId12"/>
      <w:footnotePr/>
      <w:endnotePr/>
      <w:type w:val="continuous"/>
      <w:pgSz w:w="11900" w:h="16840" w:orient="portrait"/>
      <w:pgMar w:top="1134" w:right="709" w:bottom="1276" w:left="1418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409020205020404"/>
  </w:font>
  <w:font w:name="Symbol">
    <w:panose1 w:val="05010000000000000000"/>
  </w:font>
  <w:font w:name="Calibri">
    <w:panose1 w:val="020F0502020204030204"/>
  </w:font>
  <w:font w:name="Arial">
    <w:panose1 w:val="020B0604020202020204"/>
  </w:font>
  <w:font w:name="Wingdings">
    <w:panose1 w:val="05010000000000000000"/>
  </w:font>
  <w:font w:name="Liberation Sans">
    <w:panose1 w:val="020B0604020202020204"/>
  </w:font>
  <w:font w:name="MS Mincho">
    <w:panose1 w:val="02020503050405090304"/>
  </w:font>
  <w:font w:name="Times New Roman">
    <w:panose1 w:val="02020603050405020304"/>
  </w:font>
  <w:font w:name="Lucida Grande">
    <w:panose1 w:val="02000603000000000000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7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28"/>
      <w:rPr>
        <w:rStyle w:val="930"/>
      </w:rPr>
      <w:framePr w:wrap="around" w:vAnchor="text" w:hAnchor="margin" w:xAlign="center" w:y="1"/>
    </w:pPr>
    <w:r>
      <w:rPr>
        <w:rStyle w:val="930"/>
      </w:rPr>
      <w:fldChar w:fldCharType="begin"/>
    </w:r>
    <w:r>
      <w:rPr>
        <w:rStyle w:val="930"/>
      </w:rPr>
      <w:instrText xml:space="preserve">PAGE  </w:instrText>
    </w:r>
    <w:r>
      <w:rPr>
        <w:rStyle w:val="930"/>
      </w:rPr>
      <w:fldChar w:fldCharType="end"/>
    </w:r>
    <w:r>
      <w:rPr>
        <w:rStyle w:val="930"/>
      </w:rPr>
    </w:r>
    <w:r>
      <w:rPr>
        <w:rStyle w:val="930"/>
      </w:rPr>
    </w:r>
  </w:p>
  <w:p>
    <w:pPr>
      <w:pStyle w:val="92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1"/>
      <w:rPr>
        <w:rStyle w:val="930"/>
      </w:rPr>
      <w:framePr w:wrap="around" w:vAnchor="text" w:hAnchor="margin" w:xAlign="center" w:y="1"/>
    </w:pPr>
    <w:r>
      <w:rPr>
        <w:rStyle w:val="930"/>
      </w:rPr>
      <w:fldChar w:fldCharType="begin"/>
    </w:r>
    <w:r>
      <w:rPr>
        <w:rStyle w:val="930"/>
      </w:rPr>
      <w:instrText xml:space="preserve">PAGE  </w:instrText>
    </w:r>
    <w:r>
      <w:rPr>
        <w:rStyle w:val="930"/>
      </w:rPr>
      <w:fldChar w:fldCharType="separate"/>
    </w:r>
    <w:r>
      <w:rPr>
        <w:rStyle w:val="930"/>
      </w:rPr>
      <w:t xml:space="preserve">2</w:t>
    </w:r>
    <w:r>
      <w:rPr>
        <w:rStyle w:val="930"/>
      </w:rPr>
      <w:fldChar w:fldCharType="end"/>
    </w:r>
    <w:r>
      <w:rPr>
        <w:rStyle w:val="930"/>
      </w:rPr>
    </w:r>
    <w:r>
      <w:rPr>
        <w:rStyle w:val="930"/>
      </w:rPr>
    </w:r>
  </w:p>
  <w:p>
    <w:pPr>
      <w:pStyle w:val="931"/>
      <w:ind w:left="-1134" w:right="134" w:firstLine="1134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1"/>
      <w:rPr>
        <w:rStyle w:val="930"/>
      </w:rPr>
      <w:framePr w:wrap="around" w:vAnchor="text" w:hAnchor="margin" w:xAlign="center" w:y="1"/>
    </w:pPr>
    <w:r>
      <w:rPr>
        <w:rStyle w:val="930"/>
      </w:rPr>
      <w:fldChar w:fldCharType="begin"/>
    </w:r>
    <w:r>
      <w:rPr>
        <w:rStyle w:val="930"/>
      </w:rPr>
      <w:instrText xml:space="preserve">PAGE  </w:instrText>
    </w:r>
    <w:r>
      <w:rPr>
        <w:rStyle w:val="930"/>
      </w:rPr>
      <w:fldChar w:fldCharType="end"/>
    </w:r>
    <w:r>
      <w:rPr>
        <w:rStyle w:val="930"/>
      </w:rPr>
    </w:r>
    <w:r>
      <w:rPr>
        <w:rStyle w:val="930"/>
      </w:rPr>
    </w:r>
  </w:p>
  <w:p>
    <w:pPr>
      <w:pStyle w:val="93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5" w:hanging="360"/>
      </w:pPr>
      <w:rPr>
        <w:rFonts w:eastAsia="Calibri"/>
      </w:rPr>
    </w:lvl>
    <w:lvl w:ilvl="1">
      <w:start w:val="1"/>
      <w:numFmt w:val="decimal"/>
      <w:isLgl w:val="false"/>
      <w:suff w:val="tab"/>
      <w:lvlText w:val="%1.%2."/>
      <w:lvlJc w:val="left"/>
      <w:pPr>
        <w:ind w:left="1425" w:hanging="720"/>
      </w:pPr>
      <w:rPr>
        <w:rFonts w:eastAsia="Calibri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5" w:hanging="720"/>
      </w:pPr>
      <w:rPr>
        <w:rFonts w:eastAsia="Calibri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1080"/>
      </w:pPr>
      <w:rPr>
        <w:rFonts w:eastAsia="Calibri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785" w:hanging="1080"/>
      </w:pPr>
      <w:rPr>
        <w:rFonts w:eastAsia="Calibri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5" w:hanging="1440"/>
      </w:pPr>
      <w:rPr>
        <w:rFonts w:eastAsia="Calibri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05" w:hanging="1800"/>
      </w:pPr>
      <w:rPr>
        <w:rFonts w:eastAsia="Calibri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05" w:hanging="1800"/>
      </w:pPr>
      <w:rPr>
        <w:rFonts w:eastAsia="Calibri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65" w:hanging="2160"/>
      </w:pPr>
      <w:rPr>
        <w:rFonts w:eastAsia="Calibri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4"/>
      <w:numFmt w:val="decimal"/>
      <w:isLgl w:val="false"/>
      <w:suff w:val="tab"/>
      <w:lvlText w:val="%1.%2."/>
      <w:lvlJc w:val="left"/>
      <w:pPr>
        <w:ind w:left="1909" w:hanging="120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258" w:hanging="120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607" w:hanging="120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956" w:hanging="120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305" w:hanging="120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894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43" w:hanging="144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52" w:hanging="180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70" w:hanging="360"/>
        <w:tabs>
          <w:tab w:val="num" w:pos="107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ascii="Courier New" w:hAnsi="Courier New" w:cs="Arial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ascii="Courier New" w:hAnsi="Courier New" w:cs="Arial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ascii="Courier New" w:hAnsi="Courier New" w:cs="Arial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17" w:hanging="360"/>
      </w:pPr>
      <w:rPr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77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134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54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74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94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14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34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54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74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94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92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63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mbria" w:hAnsi="Cambria" w:eastAsia="MS Mincho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37">
    <w:name w:val="Heading 1"/>
    <w:basedOn w:val="915"/>
    <w:next w:val="915"/>
    <w:link w:val="738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738">
    <w:name w:val="Heading 1 Char"/>
    <w:link w:val="737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739">
    <w:name w:val="Heading 2"/>
    <w:basedOn w:val="915"/>
    <w:next w:val="915"/>
    <w:link w:val="740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740">
    <w:name w:val="Heading 2 Char"/>
    <w:link w:val="739"/>
    <w:uiPriority w:val="9"/>
    <w:rPr>
      <w:rFonts w:ascii="Liberation Sans" w:hAnsi="Liberation Sans" w:eastAsia="Liberation Sans" w:cs="Liberation Sans"/>
      <w:sz w:val="34"/>
    </w:rPr>
  </w:style>
  <w:style w:type="paragraph" w:styleId="741">
    <w:name w:val="Heading 3"/>
    <w:basedOn w:val="915"/>
    <w:next w:val="915"/>
    <w:link w:val="742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742">
    <w:name w:val="Heading 3 Char"/>
    <w:link w:val="741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743">
    <w:name w:val="Heading 4"/>
    <w:basedOn w:val="915"/>
    <w:next w:val="915"/>
    <w:link w:val="744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744">
    <w:name w:val="Heading 4 Char"/>
    <w:link w:val="743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745">
    <w:name w:val="Heading 5"/>
    <w:basedOn w:val="915"/>
    <w:next w:val="915"/>
    <w:link w:val="746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746">
    <w:name w:val="Heading 5 Char"/>
    <w:link w:val="745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747">
    <w:name w:val="Heading 6"/>
    <w:basedOn w:val="915"/>
    <w:next w:val="915"/>
    <w:link w:val="748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748">
    <w:name w:val="Heading 6 Char"/>
    <w:link w:val="747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749">
    <w:name w:val="Heading 7"/>
    <w:basedOn w:val="915"/>
    <w:next w:val="915"/>
    <w:link w:val="750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750">
    <w:name w:val="Heading 7 Char"/>
    <w:link w:val="749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751">
    <w:name w:val="Heading 8"/>
    <w:basedOn w:val="915"/>
    <w:next w:val="915"/>
    <w:link w:val="752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752">
    <w:name w:val="Heading 8 Char"/>
    <w:link w:val="751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753">
    <w:name w:val="Heading 9"/>
    <w:basedOn w:val="915"/>
    <w:next w:val="915"/>
    <w:link w:val="754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754">
    <w:name w:val="Heading 9 Char"/>
    <w:link w:val="753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755">
    <w:name w:val="List Paragraph"/>
    <w:basedOn w:val="915"/>
    <w:uiPriority w:val="34"/>
    <w:qFormat/>
    <w:pPr>
      <w:contextualSpacing/>
      <w:ind w:left="720"/>
    </w:pPr>
  </w:style>
  <w:style w:type="paragraph" w:styleId="756">
    <w:name w:val="No Spacing"/>
    <w:uiPriority w:val="1"/>
    <w:qFormat/>
    <w:pPr>
      <w:spacing w:before="0" w:after="0" w:line="240" w:lineRule="auto"/>
    </w:pPr>
  </w:style>
  <w:style w:type="paragraph" w:styleId="757">
    <w:name w:val="Title"/>
    <w:basedOn w:val="915"/>
    <w:next w:val="915"/>
    <w:link w:val="75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8">
    <w:name w:val="Title Char"/>
    <w:link w:val="757"/>
    <w:uiPriority w:val="10"/>
    <w:rPr>
      <w:sz w:val="48"/>
      <w:szCs w:val="48"/>
    </w:rPr>
  </w:style>
  <w:style w:type="paragraph" w:styleId="759">
    <w:name w:val="Subtitle"/>
    <w:basedOn w:val="915"/>
    <w:next w:val="915"/>
    <w:link w:val="760"/>
    <w:uiPriority w:val="11"/>
    <w:qFormat/>
    <w:pPr>
      <w:spacing w:before="200" w:after="200"/>
    </w:pPr>
    <w:rPr>
      <w:sz w:val="24"/>
      <w:szCs w:val="24"/>
    </w:rPr>
  </w:style>
  <w:style w:type="character" w:styleId="760">
    <w:name w:val="Subtitle Char"/>
    <w:link w:val="759"/>
    <w:uiPriority w:val="11"/>
    <w:rPr>
      <w:sz w:val="24"/>
      <w:szCs w:val="24"/>
    </w:rPr>
  </w:style>
  <w:style w:type="paragraph" w:styleId="761">
    <w:name w:val="Quote"/>
    <w:basedOn w:val="915"/>
    <w:next w:val="915"/>
    <w:link w:val="762"/>
    <w:uiPriority w:val="29"/>
    <w:qFormat/>
    <w:pPr>
      <w:ind w:left="720" w:right="720"/>
    </w:pPr>
    <w:rPr>
      <w:i/>
    </w:rPr>
  </w:style>
  <w:style w:type="character" w:styleId="762">
    <w:name w:val="Quote Char"/>
    <w:link w:val="761"/>
    <w:uiPriority w:val="29"/>
    <w:rPr>
      <w:i/>
    </w:rPr>
  </w:style>
  <w:style w:type="paragraph" w:styleId="763">
    <w:name w:val="Intense Quote"/>
    <w:basedOn w:val="915"/>
    <w:next w:val="915"/>
    <w:link w:val="76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4">
    <w:name w:val="Intense Quote Char"/>
    <w:link w:val="763"/>
    <w:uiPriority w:val="30"/>
    <w:rPr>
      <w:i/>
    </w:rPr>
  </w:style>
  <w:style w:type="paragraph" w:styleId="765">
    <w:name w:val="Header"/>
    <w:basedOn w:val="915"/>
    <w:link w:val="76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6">
    <w:name w:val="Header Char"/>
    <w:link w:val="765"/>
    <w:uiPriority w:val="99"/>
  </w:style>
  <w:style w:type="paragraph" w:styleId="767">
    <w:name w:val="Footer"/>
    <w:basedOn w:val="915"/>
    <w:link w:val="76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68">
    <w:name w:val="Footer Char"/>
    <w:link w:val="767"/>
    <w:uiPriority w:val="99"/>
  </w:style>
  <w:style w:type="paragraph" w:styleId="769">
    <w:name w:val="Caption"/>
    <w:basedOn w:val="915"/>
    <w:next w:val="915"/>
    <w:link w:val="77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70">
    <w:name w:val="Caption Char"/>
    <w:link w:val="769"/>
    <w:uiPriority w:val="35"/>
    <w:rPr>
      <w:b/>
      <w:bCs/>
      <w:color w:val="4f81bd" w:themeColor="accent1"/>
      <w:sz w:val="18"/>
      <w:szCs w:val="18"/>
    </w:rPr>
  </w:style>
  <w:style w:type="table" w:styleId="771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2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73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74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775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6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8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00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01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2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3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4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05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06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07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08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09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10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11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12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13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814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815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816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817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818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19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820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0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1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2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35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36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37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38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39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40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41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56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57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58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59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60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61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862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63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64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65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66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67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68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69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870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871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872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873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874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875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876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77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78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79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0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1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2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83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4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85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86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87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88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89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90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91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92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93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94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95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96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97">
    <w:name w:val="Hyperlink"/>
    <w:uiPriority w:val="99"/>
    <w:unhideWhenUsed/>
    <w:rPr>
      <w:color w:val="0000ff" w:themeColor="hyperlink"/>
      <w:u w:val="single"/>
    </w:rPr>
  </w:style>
  <w:style w:type="paragraph" w:styleId="898">
    <w:name w:val="footnote text"/>
    <w:basedOn w:val="915"/>
    <w:link w:val="899"/>
    <w:uiPriority w:val="99"/>
    <w:semiHidden/>
    <w:unhideWhenUsed/>
    <w:pPr>
      <w:spacing w:after="40" w:line="240" w:lineRule="auto"/>
    </w:pPr>
    <w:rPr>
      <w:sz w:val="18"/>
    </w:rPr>
  </w:style>
  <w:style w:type="character" w:styleId="899">
    <w:name w:val="Footnote Text Char"/>
    <w:link w:val="898"/>
    <w:uiPriority w:val="99"/>
    <w:rPr>
      <w:sz w:val="18"/>
    </w:rPr>
  </w:style>
  <w:style w:type="character" w:styleId="900">
    <w:name w:val="footnote reference"/>
    <w:uiPriority w:val="99"/>
    <w:unhideWhenUsed/>
    <w:rPr>
      <w:vertAlign w:val="superscript"/>
    </w:rPr>
  </w:style>
  <w:style w:type="paragraph" w:styleId="901">
    <w:name w:val="endnote text"/>
    <w:basedOn w:val="915"/>
    <w:link w:val="902"/>
    <w:uiPriority w:val="99"/>
    <w:semiHidden/>
    <w:unhideWhenUsed/>
    <w:pPr>
      <w:spacing w:after="0" w:line="240" w:lineRule="auto"/>
    </w:pPr>
    <w:rPr>
      <w:sz w:val="20"/>
    </w:rPr>
  </w:style>
  <w:style w:type="character" w:styleId="902">
    <w:name w:val="Endnote Text Char"/>
    <w:link w:val="901"/>
    <w:uiPriority w:val="99"/>
    <w:rPr>
      <w:sz w:val="20"/>
    </w:rPr>
  </w:style>
  <w:style w:type="character" w:styleId="903">
    <w:name w:val="endnote reference"/>
    <w:uiPriority w:val="99"/>
    <w:semiHidden/>
    <w:unhideWhenUsed/>
    <w:rPr>
      <w:vertAlign w:val="superscript"/>
    </w:rPr>
  </w:style>
  <w:style w:type="paragraph" w:styleId="904">
    <w:name w:val="toc 1"/>
    <w:basedOn w:val="915"/>
    <w:next w:val="915"/>
    <w:uiPriority w:val="39"/>
    <w:unhideWhenUsed/>
    <w:pPr>
      <w:ind w:left="0" w:right="0" w:firstLine="0"/>
      <w:spacing w:after="57"/>
    </w:pPr>
  </w:style>
  <w:style w:type="paragraph" w:styleId="905">
    <w:name w:val="toc 2"/>
    <w:basedOn w:val="915"/>
    <w:next w:val="915"/>
    <w:uiPriority w:val="39"/>
    <w:unhideWhenUsed/>
    <w:pPr>
      <w:ind w:left="283" w:right="0" w:firstLine="0"/>
      <w:spacing w:after="57"/>
    </w:pPr>
  </w:style>
  <w:style w:type="paragraph" w:styleId="906">
    <w:name w:val="toc 3"/>
    <w:basedOn w:val="915"/>
    <w:next w:val="915"/>
    <w:uiPriority w:val="39"/>
    <w:unhideWhenUsed/>
    <w:pPr>
      <w:ind w:left="567" w:right="0" w:firstLine="0"/>
      <w:spacing w:after="57"/>
    </w:pPr>
  </w:style>
  <w:style w:type="paragraph" w:styleId="907">
    <w:name w:val="toc 4"/>
    <w:basedOn w:val="915"/>
    <w:next w:val="915"/>
    <w:uiPriority w:val="39"/>
    <w:unhideWhenUsed/>
    <w:pPr>
      <w:ind w:left="850" w:right="0" w:firstLine="0"/>
      <w:spacing w:after="57"/>
    </w:pPr>
  </w:style>
  <w:style w:type="paragraph" w:styleId="908">
    <w:name w:val="toc 5"/>
    <w:basedOn w:val="915"/>
    <w:next w:val="915"/>
    <w:uiPriority w:val="39"/>
    <w:unhideWhenUsed/>
    <w:pPr>
      <w:ind w:left="1134" w:right="0" w:firstLine="0"/>
      <w:spacing w:after="57"/>
    </w:pPr>
  </w:style>
  <w:style w:type="paragraph" w:styleId="909">
    <w:name w:val="toc 6"/>
    <w:basedOn w:val="915"/>
    <w:next w:val="915"/>
    <w:uiPriority w:val="39"/>
    <w:unhideWhenUsed/>
    <w:pPr>
      <w:ind w:left="1417" w:right="0" w:firstLine="0"/>
      <w:spacing w:after="57"/>
    </w:pPr>
  </w:style>
  <w:style w:type="paragraph" w:styleId="910">
    <w:name w:val="toc 7"/>
    <w:basedOn w:val="915"/>
    <w:next w:val="915"/>
    <w:uiPriority w:val="39"/>
    <w:unhideWhenUsed/>
    <w:pPr>
      <w:ind w:left="1701" w:right="0" w:firstLine="0"/>
      <w:spacing w:after="57"/>
    </w:pPr>
  </w:style>
  <w:style w:type="paragraph" w:styleId="911">
    <w:name w:val="toc 8"/>
    <w:basedOn w:val="915"/>
    <w:next w:val="915"/>
    <w:uiPriority w:val="39"/>
    <w:unhideWhenUsed/>
    <w:pPr>
      <w:ind w:left="1984" w:right="0" w:firstLine="0"/>
      <w:spacing w:after="57"/>
    </w:pPr>
  </w:style>
  <w:style w:type="paragraph" w:styleId="912">
    <w:name w:val="toc 9"/>
    <w:basedOn w:val="915"/>
    <w:next w:val="915"/>
    <w:uiPriority w:val="39"/>
    <w:unhideWhenUsed/>
    <w:pPr>
      <w:ind w:left="2268" w:right="0" w:firstLine="0"/>
      <w:spacing w:after="57"/>
    </w:pPr>
  </w:style>
  <w:style w:type="paragraph" w:styleId="913">
    <w:name w:val="TOC Heading"/>
    <w:uiPriority w:val="39"/>
    <w:unhideWhenUsed/>
  </w:style>
  <w:style w:type="paragraph" w:styleId="914">
    <w:name w:val="table of figures"/>
    <w:basedOn w:val="915"/>
    <w:next w:val="915"/>
    <w:uiPriority w:val="99"/>
    <w:unhideWhenUsed/>
    <w:pPr>
      <w:spacing w:after="0" w:afterAutospacing="0"/>
    </w:pPr>
  </w:style>
  <w:style w:type="paragraph" w:styleId="915" w:default="1">
    <w:name w:val="Normal"/>
    <w:next w:val="915"/>
    <w:link w:val="915"/>
    <w:qFormat/>
    <w:rPr>
      <w:sz w:val="24"/>
      <w:szCs w:val="24"/>
      <w:lang w:val="en-US" w:eastAsia="ru-RU" w:bidi="ar-SA"/>
    </w:rPr>
  </w:style>
  <w:style w:type="character" w:styleId="916">
    <w:name w:val="Основной шрифт абзаца"/>
    <w:next w:val="916"/>
    <w:link w:val="915"/>
    <w:uiPriority w:val="1"/>
    <w:unhideWhenUsed/>
  </w:style>
  <w:style w:type="table" w:styleId="917">
    <w:name w:val="Обычная таблица"/>
    <w:next w:val="917"/>
    <w:link w:val="915"/>
    <w:uiPriority w:val="99"/>
    <w:semiHidden/>
    <w:unhideWhenUsed/>
    <w:tblPr/>
  </w:style>
  <w:style w:type="numbering" w:styleId="918">
    <w:name w:val="Нет списка"/>
    <w:next w:val="918"/>
    <w:link w:val="915"/>
    <w:uiPriority w:val="99"/>
    <w:semiHidden/>
    <w:unhideWhenUsed/>
  </w:style>
  <w:style w:type="paragraph" w:styleId="919">
    <w:name w:val="Цветной список - Акцент 1"/>
    <w:basedOn w:val="915"/>
    <w:next w:val="919"/>
    <w:link w:val="915"/>
    <w:uiPriority w:val="34"/>
    <w:qFormat/>
    <w:pPr>
      <w:contextualSpacing/>
      <w:ind w:left="720"/>
    </w:pPr>
  </w:style>
  <w:style w:type="paragraph" w:styleId="920">
    <w:name w:val="z-Конец формы"/>
    <w:basedOn w:val="915"/>
    <w:next w:val="915"/>
    <w:link w:val="921"/>
    <w:hidden/>
    <w:uiPriority w:val="99"/>
    <w:semiHidden/>
    <w:unhideWhenUsed/>
    <w:pPr>
      <w:jc w:val="center"/>
      <w:pBdr>
        <w:top w:val="single" w:color="000000" w:sz="6" w:space="1"/>
      </w:pBdr>
    </w:pPr>
    <w:rPr>
      <w:rFonts w:ascii="Arial" w:hAnsi="Arial"/>
      <w:vanish/>
      <w:sz w:val="16"/>
      <w:szCs w:val="16"/>
      <w:lang w:val="en-US" w:eastAsia="en-US"/>
    </w:rPr>
  </w:style>
  <w:style w:type="character" w:styleId="921">
    <w:name w:val="z-Конец формы Знак"/>
    <w:next w:val="921"/>
    <w:link w:val="920"/>
    <w:uiPriority w:val="99"/>
    <w:semiHidden/>
    <w:rPr>
      <w:rFonts w:ascii="Arial" w:hAnsi="Arial" w:cs="Arial"/>
      <w:vanish/>
      <w:sz w:val="16"/>
      <w:szCs w:val="16"/>
    </w:rPr>
  </w:style>
  <w:style w:type="paragraph" w:styleId="922">
    <w:name w:val="z-Начало формы"/>
    <w:basedOn w:val="915"/>
    <w:next w:val="915"/>
    <w:link w:val="923"/>
    <w:hidden/>
    <w:uiPriority w:val="99"/>
    <w:semiHidden/>
    <w:unhideWhenUsed/>
    <w:pPr>
      <w:jc w:val="center"/>
      <w:pBdr>
        <w:bottom w:val="single" w:color="000000" w:sz="6" w:space="1"/>
      </w:pBdr>
    </w:pPr>
    <w:rPr>
      <w:rFonts w:ascii="Arial" w:hAnsi="Arial"/>
      <w:vanish/>
      <w:sz w:val="16"/>
      <w:szCs w:val="16"/>
      <w:lang w:val="en-US" w:eastAsia="en-US"/>
    </w:rPr>
  </w:style>
  <w:style w:type="character" w:styleId="923">
    <w:name w:val="z-Начало формы Знак"/>
    <w:next w:val="923"/>
    <w:link w:val="922"/>
    <w:uiPriority w:val="99"/>
    <w:semiHidden/>
    <w:rPr>
      <w:rFonts w:ascii="Arial" w:hAnsi="Arial" w:cs="Arial"/>
      <w:vanish/>
      <w:sz w:val="16"/>
      <w:szCs w:val="16"/>
    </w:rPr>
  </w:style>
  <w:style w:type="character" w:styleId="924">
    <w:name w:val="Средняя сетка 11"/>
    <w:next w:val="924"/>
    <w:link w:val="915"/>
    <w:uiPriority w:val="99"/>
    <w:semiHidden/>
    <w:rPr>
      <w:color w:val="a9a9a9"/>
    </w:rPr>
  </w:style>
  <w:style w:type="paragraph" w:styleId="925">
    <w:name w:val="Текст выноски"/>
    <w:basedOn w:val="915"/>
    <w:next w:val="925"/>
    <w:link w:val="926"/>
    <w:uiPriority w:val="99"/>
    <w:semiHidden/>
    <w:unhideWhenUsed/>
    <w:rPr>
      <w:rFonts w:ascii="Lucida Grande" w:hAnsi="Lucida Grande"/>
      <w:sz w:val="18"/>
      <w:szCs w:val="18"/>
      <w:lang w:val="en-US" w:eastAsia="en-US"/>
    </w:rPr>
  </w:style>
  <w:style w:type="character" w:styleId="926">
    <w:name w:val="Текст выноски Знак"/>
    <w:next w:val="926"/>
    <w:link w:val="925"/>
    <w:uiPriority w:val="99"/>
    <w:semiHidden/>
    <w:rPr>
      <w:rFonts w:ascii="Lucida Grande" w:hAnsi="Lucida Grande" w:cs="Lucida Grande"/>
      <w:sz w:val="18"/>
      <w:szCs w:val="18"/>
    </w:rPr>
  </w:style>
  <w:style w:type="table" w:styleId="927">
    <w:name w:val="Сетка таблицы"/>
    <w:basedOn w:val="917"/>
    <w:next w:val="927"/>
    <w:link w:val="915"/>
    <w:uiPriority w:val="59"/>
    <w:tblPr/>
  </w:style>
  <w:style w:type="paragraph" w:styleId="928">
    <w:name w:val="Нижний колонтитул"/>
    <w:basedOn w:val="915"/>
    <w:next w:val="928"/>
    <w:link w:val="929"/>
    <w:uiPriority w:val="99"/>
    <w:unhideWhenUsed/>
    <w:pPr>
      <w:tabs>
        <w:tab w:val="center" w:pos="4844" w:leader="none"/>
        <w:tab w:val="right" w:pos="9689" w:leader="none"/>
      </w:tabs>
    </w:pPr>
  </w:style>
  <w:style w:type="character" w:styleId="929">
    <w:name w:val="Нижний колонтитул Знак"/>
    <w:basedOn w:val="916"/>
    <w:next w:val="929"/>
    <w:link w:val="928"/>
    <w:uiPriority w:val="99"/>
  </w:style>
  <w:style w:type="character" w:styleId="930">
    <w:name w:val="Номер страницы"/>
    <w:next w:val="930"/>
    <w:link w:val="915"/>
    <w:uiPriority w:val="99"/>
    <w:semiHidden/>
    <w:unhideWhenUsed/>
  </w:style>
  <w:style w:type="paragraph" w:styleId="931">
    <w:name w:val="Верхний колонтитул"/>
    <w:basedOn w:val="915"/>
    <w:next w:val="931"/>
    <w:link w:val="932"/>
    <w:uiPriority w:val="99"/>
    <w:unhideWhenUsed/>
    <w:pPr>
      <w:tabs>
        <w:tab w:val="center" w:pos="4677" w:leader="none"/>
        <w:tab w:val="right" w:pos="9355" w:leader="none"/>
      </w:tabs>
    </w:pPr>
    <w:rPr>
      <w:lang w:eastAsia="en-US"/>
    </w:rPr>
  </w:style>
  <w:style w:type="character" w:styleId="932">
    <w:name w:val="Верхний колонтитул Знак"/>
    <w:next w:val="932"/>
    <w:link w:val="931"/>
    <w:uiPriority w:val="99"/>
    <w:rPr>
      <w:sz w:val="24"/>
      <w:szCs w:val="24"/>
      <w:lang w:val="en-US"/>
    </w:rPr>
  </w:style>
  <w:style w:type="paragraph" w:styleId="933">
    <w:name w:val="Без интервала"/>
    <w:next w:val="933"/>
    <w:link w:val="915"/>
    <w:uiPriority w:val="1"/>
    <w:qFormat/>
    <w:pPr>
      <w:widowControl w:val="off"/>
    </w:pPr>
    <w:rPr>
      <w:rFonts w:ascii="Times New Roman" w:hAnsi="Times New Roman" w:eastAsia="Times New Roman"/>
      <w:lang w:val="ru-RU" w:eastAsia="ru-RU" w:bidi="ar-SA"/>
    </w:rPr>
  </w:style>
  <w:style w:type="character" w:styleId="934">
    <w:name w:val="Гиперссылка"/>
    <w:next w:val="934"/>
    <w:link w:val="915"/>
    <w:uiPriority w:val="99"/>
    <w:unhideWhenUsed/>
    <w:rPr>
      <w:color w:val="0000ff"/>
      <w:u w:val="single"/>
    </w:rPr>
  </w:style>
  <w:style w:type="character" w:styleId="935">
    <w:name w:val="Неразрешенное упоминание"/>
    <w:next w:val="935"/>
    <w:link w:val="915"/>
    <w:uiPriority w:val="99"/>
    <w:semiHidden/>
    <w:unhideWhenUsed/>
    <w:rPr>
      <w:color w:val="605e5c"/>
      <w:shd w:val="clear" w:color="auto" w:fill="e1dfdd"/>
    </w:rPr>
  </w:style>
  <w:style w:type="character" w:styleId="936" w:default="1">
    <w:name w:val="Default Paragraph Font"/>
    <w:uiPriority w:val="1"/>
    <w:semiHidden/>
    <w:unhideWhenUsed/>
  </w:style>
  <w:style w:type="numbering" w:styleId="937" w:default="1">
    <w:name w:val="No List"/>
    <w:uiPriority w:val="99"/>
    <w:semiHidden/>
    <w:unhideWhenUsed/>
  </w:style>
  <w:style w:type="table" w:styleId="938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image" Target="media/image1.png"/><Relationship Id="rId14" Type="http://schemas.openxmlformats.org/officeDocument/2006/relationships/image" Target="media/media1.sv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HIZ</Company>
  <DocSecurity>0</DocSecurity>
  <HyperlinksChanged>false</HyperlinksChanged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 Master</dc:creator>
  <cp:lastModifiedBy>martyusheva_ea</cp:lastModifiedBy>
  <cp:revision>13</cp:revision>
  <dcterms:created xsi:type="dcterms:W3CDTF">2021-05-21T09:12:00Z</dcterms:created>
  <dcterms:modified xsi:type="dcterms:W3CDTF">2026-07-22T08:45:02Z</dcterms:modified>
  <cp:version>1048576</cp:version>
</cp:coreProperties>
</file>